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6BD" w:rsidRDefault="00575911">
      <w:pPr>
        <w:pStyle w:val="Heading2"/>
        <w:pBdr>
          <w:bottom w:val="thinThickSmallGap" w:sz="24" w:space="1" w:color="auto"/>
        </w:pBdr>
        <w:jc w:val="center"/>
        <w:rPr>
          <w:bCs/>
          <w:smallCaps/>
          <w:sz w:val="36"/>
        </w:rPr>
      </w:pPr>
      <w:r>
        <w:rPr>
          <w:bCs/>
          <w:smallCaps/>
          <w:sz w:val="36"/>
        </w:rPr>
        <w:t>Evaluation of Steelhead Kelt Passage Routes</w:t>
      </w:r>
    </w:p>
    <w:p w:rsidR="001B46BD" w:rsidRDefault="00575911">
      <w:pPr>
        <w:pStyle w:val="Heading2"/>
        <w:pBdr>
          <w:bottom w:val="thinThickSmallGap" w:sz="24" w:space="1" w:color="auto"/>
        </w:pBdr>
        <w:jc w:val="center"/>
        <w:rPr>
          <w:bCs/>
          <w:smallCaps/>
          <w:sz w:val="36"/>
        </w:rPr>
      </w:pPr>
      <w:r>
        <w:rPr>
          <w:bCs/>
          <w:smallCaps/>
          <w:sz w:val="36"/>
        </w:rPr>
        <w:t>at Bonneville Dam, 2000</w:t>
      </w:r>
    </w:p>
    <w:p w:rsidR="001B46BD" w:rsidRDefault="001B46BD"/>
    <w:p w:rsidR="001B46BD" w:rsidRDefault="001B46BD"/>
    <w:p w:rsidR="001B46BD" w:rsidRDefault="00BF5BC2">
      <w:pPr>
        <w:ind w:left="720" w:hanging="720"/>
        <w:jc w:val="center"/>
        <w:rPr>
          <w:smallCaps/>
          <w:sz w:val="28"/>
        </w:rPr>
      </w:pPr>
      <w:r>
        <w:rPr>
          <w:smallCaps/>
          <w:noProof/>
          <w:sz w:val="28"/>
        </w:rPr>
        <w:drawing>
          <wp:inline distT="0" distB="0" distL="0" distR="0">
            <wp:extent cx="5459730" cy="3578225"/>
            <wp:effectExtent l="19050" t="0" r="7620" b="0"/>
            <wp:docPr id="1" name="Picture 1" descr="F:\Bonneville\Bonneville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onneville\Bonneville Aerial.jpg"/>
                    <pic:cNvPicPr>
                      <a:picLocks noChangeAspect="1" noChangeArrowheads="1"/>
                    </pic:cNvPicPr>
                  </pic:nvPicPr>
                  <pic:blipFill>
                    <a:blip r:embed="rId7" cstate="print"/>
                    <a:srcRect/>
                    <a:stretch>
                      <a:fillRect/>
                    </a:stretch>
                  </pic:blipFill>
                  <pic:spPr bwMode="auto">
                    <a:xfrm>
                      <a:off x="0" y="0"/>
                      <a:ext cx="5459730" cy="3578225"/>
                    </a:xfrm>
                    <a:prstGeom prst="rect">
                      <a:avLst/>
                    </a:prstGeom>
                    <a:noFill/>
                    <a:ln w="9525">
                      <a:noFill/>
                      <a:miter lim="800000"/>
                      <a:headEnd/>
                      <a:tailEnd/>
                    </a:ln>
                  </pic:spPr>
                </pic:pic>
              </a:graphicData>
            </a:graphic>
          </wp:inline>
        </w:drawing>
      </w:r>
    </w:p>
    <w:p w:rsidR="001B46BD" w:rsidRDefault="001B46BD"/>
    <w:p w:rsidR="001B46BD" w:rsidRDefault="00575911">
      <w:pPr>
        <w:ind w:left="720" w:hanging="720"/>
        <w:jc w:val="center"/>
      </w:pPr>
      <w:r>
        <w:t>Report of Monitoring</w:t>
      </w:r>
    </w:p>
    <w:p w:rsidR="001B46BD" w:rsidRDefault="001B46BD">
      <w:pPr>
        <w:ind w:left="720" w:hanging="720"/>
        <w:jc w:val="center"/>
      </w:pPr>
    </w:p>
    <w:p w:rsidR="001B46BD" w:rsidRDefault="00575911">
      <w:pPr>
        <w:ind w:left="720" w:hanging="720"/>
        <w:jc w:val="center"/>
      </w:pPr>
      <w:r>
        <w:t>Prepared By:</w:t>
      </w:r>
    </w:p>
    <w:p w:rsidR="001B46BD" w:rsidRDefault="00575911">
      <w:pPr>
        <w:ind w:left="720" w:hanging="720"/>
        <w:jc w:val="center"/>
      </w:pPr>
      <w:r>
        <w:t>Robert H. Wertheimer, John T. Dalen, and Patricia L. Madson</w:t>
      </w:r>
    </w:p>
    <w:p w:rsidR="001B46BD" w:rsidRDefault="00575911">
      <w:pPr>
        <w:ind w:left="720" w:hanging="720"/>
        <w:jc w:val="center"/>
      </w:pPr>
      <w:r>
        <w:t>U.S. Army Corps of Engineers</w:t>
      </w:r>
    </w:p>
    <w:p w:rsidR="001B46BD" w:rsidRDefault="00575911">
      <w:pPr>
        <w:ind w:left="720" w:hanging="720"/>
        <w:jc w:val="center"/>
      </w:pPr>
      <w:r>
        <w:t xml:space="preserve">Portland District Fisheries Field Unit </w:t>
      </w:r>
    </w:p>
    <w:p w:rsidR="001B46BD" w:rsidRDefault="00575911">
      <w:pPr>
        <w:pStyle w:val="Heading1"/>
        <w:jc w:val="center"/>
        <w:rPr>
          <w:b w:val="0"/>
          <w:sz w:val="24"/>
        </w:rPr>
      </w:pPr>
      <w:r>
        <w:rPr>
          <w:b w:val="0"/>
          <w:sz w:val="24"/>
        </w:rPr>
        <w:t>Bonneville Lock and Dam</w:t>
      </w:r>
    </w:p>
    <w:p w:rsidR="001B46BD" w:rsidRDefault="00575911">
      <w:pPr>
        <w:ind w:left="720" w:hanging="720"/>
        <w:jc w:val="center"/>
      </w:pPr>
      <w:r>
        <w:t>Cascade Locks, OR 97014</w:t>
      </w:r>
    </w:p>
    <w:p w:rsidR="001B46BD" w:rsidRDefault="001B46BD">
      <w:pPr>
        <w:ind w:left="720" w:hanging="720"/>
        <w:jc w:val="center"/>
      </w:pPr>
    </w:p>
    <w:p w:rsidR="001B46BD" w:rsidRDefault="00575911">
      <w:pPr>
        <w:ind w:left="720" w:hanging="720"/>
        <w:jc w:val="center"/>
      </w:pPr>
      <w:r>
        <w:t xml:space="preserve">Prepared for </w:t>
      </w:r>
    </w:p>
    <w:p w:rsidR="001B46BD" w:rsidRDefault="001B46BD">
      <w:pPr>
        <w:ind w:left="720" w:hanging="720"/>
        <w:jc w:val="center"/>
        <w:rPr>
          <w:b/>
          <w:bCs/>
        </w:rPr>
      </w:pPr>
    </w:p>
    <w:p w:rsidR="001B46BD" w:rsidRDefault="00575911">
      <w:pPr>
        <w:ind w:left="720" w:hanging="720"/>
        <w:jc w:val="center"/>
      </w:pPr>
      <w:r>
        <w:t>U.S. Army Corps of Engineers</w:t>
      </w:r>
    </w:p>
    <w:p w:rsidR="001B46BD" w:rsidRDefault="00575911">
      <w:pPr>
        <w:ind w:left="720" w:hanging="720"/>
        <w:jc w:val="center"/>
      </w:pPr>
      <w:r>
        <w:t xml:space="preserve">Portland District </w:t>
      </w:r>
    </w:p>
    <w:p w:rsidR="001B46BD" w:rsidRDefault="00575911">
      <w:pPr>
        <w:ind w:left="720" w:hanging="720"/>
        <w:jc w:val="center"/>
      </w:pPr>
      <w:r>
        <w:t>Planning and Engineering Division</w:t>
      </w:r>
    </w:p>
    <w:p w:rsidR="001B46BD" w:rsidRDefault="00575911">
      <w:pPr>
        <w:ind w:left="720" w:hanging="720"/>
        <w:jc w:val="center"/>
      </w:pPr>
      <w:r>
        <w:t xml:space="preserve">Environmental Resources Branch </w:t>
      </w:r>
    </w:p>
    <w:p w:rsidR="001B46BD" w:rsidRDefault="00575911">
      <w:pPr>
        <w:ind w:left="720" w:hanging="720"/>
        <w:jc w:val="center"/>
      </w:pPr>
      <w:r>
        <w:t>Robert Duncan Plaza</w:t>
      </w:r>
    </w:p>
    <w:p w:rsidR="001B46BD" w:rsidRDefault="00575911">
      <w:pPr>
        <w:ind w:left="720" w:hanging="720"/>
        <w:jc w:val="center"/>
      </w:pPr>
      <w:r>
        <w:t>333 S.W. 1</w:t>
      </w:r>
      <w:r>
        <w:rPr>
          <w:vertAlign w:val="superscript"/>
        </w:rPr>
        <w:t>st</w:t>
      </w:r>
      <w:r>
        <w:t xml:space="preserve"> Avenue</w:t>
      </w:r>
    </w:p>
    <w:p w:rsidR="001B46BD" w:rsidRDefault="00575911">
      <w:pPr>
        <w:ind w:left="720" w:hanging="720"/>
        <w:jc w:val="center"/>
      </w:pPr>
      <w:r>
        <w:t>Portland, Oregon 97204-3495</w:t>
      </w:r>
    </w:p>
    <w:p w:rsidR="001B46BD" w:rsidRDefault="001B46BD">
      <w:pPr>
        <w:ind w:left="720" w:hanging="720"/>
        <w:jc w:val="center"/>
      </w:pPr>
    </w:p>
    <w:p w:rsidR="001B46BD" w:rsidRDefault="001B46BD">
      <w:pPr>
        <w:ind w:left="720" w:hanging="720"/>
        <w:jc w:val="center"/>
      </w:pPr>
    </w:p>
    <w:p w:rsidR="001B46BD" w:rsidRDefault="001B46BD">
      <w:pPr>
        <w:ind w:left="720" w:hanging="720"/>
        <w:jc w:val="center"/>
        <w:rPr>
          <w:sz w:val="28"/>
        </w:rPr>
      </w:pPr>
    </w:p>
    <w:p w:rsidR="001B46BD" w:rsidRDefault="001B46BD">
      <w:pPr>
        <w:ind w:left="720" w:hanging="720"/>
        <w:jc w:val="center"/>
        <w:rPr>
          <w:smallCaps/>
          <w:sz w:val="28"/>
        </w:rPr>
      </w:pPr>
    </w:p>
    <w:p w:rsidR="001B46BD" w:rsidRDefault="001B46BD">
      <w:pPr>
        <w:pStyle w:val="BodyTextIndent"/>
        <w:jc w:val="center"/>
        <w:rPr>
          <w:b/>
          <w:bCs/>
          <w:sz w:val="28"/>
        </w:rPr>
      </w:pPr>
    </w:p>
    <w:p w:rsidR="001B46BD" w:rsidRDefault="001B46BD">
      <w:pPr>
        <w:pStyle w:val="BodyTextIndent"/>
        <w:jc w:val="center"/>
        <w:rPr>
          <w:b/>
          <w:bCs/>
          <w:sz w:val="28"/>
        </w:rPr>
      </w:pPr>
    </w:p>
    <w:p w:rsidR="001B46BD" w:rsidRDefault="001B46BD">
      <w:pPr>
        <w:pStyle w:val="BodyTextIndent"/>
        <w:jc w:val="center"/>
        <w:rPr>
          <w:b/>
          <w:bCs/>
          <w:sz w:val="28"/>
        </w:rPr>
      </w:pPr>
    </w:p>
    <w:p w:rsidR="001B46BD" w:rsidRDefault="001B46BD">
      <w:pPr>
        <w:pStyle w:val="BodyTextIndent"/>
        <w:jc w:val="center"/>
        <w:rPr>
          <w:b/>
          <w:bCs/>
          <w:sz w:val="28"/>
        </w:rPr>
      </w:pPr>
    </w:p>
    <w:p w:rsidR="001B46BD" w:rsidRDefault="001B46BD">
      <w:pPr>
        <w:pStyle w:val="BodyTextIndent"/>
        <w:jc w:val="center"/>
        <w:rPr>
          <w:b/>
          <w:bCs/>
          <w:sz w:val="28"/>
        </w:rPr>
      </w:pPr>
    </w:p>
    <w:p w:rsidR="001B46BD" w:rsidRDefault="001B46BD">
      <w:pPr>
        <w:pStyle w:val="BodyTextIndent"/>
        <w:jc w:val="center"/>
        <w:rPr>
          <w:b/>
          <w:bCs/>
          <w:sz w:val="28"/>
        </w:rPr>
      </w:pPr>
    </w:p>
    <w:p w:rsidR="001B46BD" w:rsidRDefault="001B46BD">
      <w:pPr>
        <w:pStyle w:val="BodyTextIndent"/>
        <w:jc w:val="center"/>
        <w:rPr>
          <w:b/>
          <w:bCs/>
          <w:sz w:val="28"/>
        </w:rPr>
      </w:pPr>
    </w:p>
    <w:p w:rsidR="001B46BD" w:rsidRDefault="001B46BD">
      <w:pPr>
        <w:pStyle w:val="BodyTextIndent"/>
        <w:jc w:val="center"/>
        <w:rPr>
          <w:b/>
          <w:bCs/>
          <w:sz w:val="36"/>
        </w:rPr>
      </w:pPr>
    </w:p>
    <w:p w:rsidR="001B46BD" w:rsidRDefault="001B46BD">
      <w:pPr>
        <w:pStyle w:val="BodyTextIndent"/>
        <w:jc w:val="center"/>
        <w:sectPr w:rsidR="001B46BD">
          <w:footerReference w:type="even" r:id="rId8"/>
          <w:footerReference w:type="default" r:id="rId9"/>
          <w:footerReference w:type="first" r:id="rId10"/>
          <w:pgSz w:w="12240" w:h="15840"/>
          <w:pgMar w:top="1440" w:right="1800" w:bottom="1440" w:left="1800" w:header="720" w:footer="720" w:gutter="0"/>
          <w:pgNumType w:start="0"/>
          <w:cols w:space="720"/>
          <w:titlePg/>
          <w:docGrid w:linePitch="360"/>
        </w:sectP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pPr>
    </w:p>
    <w:p w:rsidR="001B46BD" w:rsidRDefault="001B46BD">
      <w:pPr>
        <w:pStyle w:val="BodyTextIndent"/>
        <w:jc w:val="center"/>
        <w:rPr>
          <w:b/>
        </w:rPr>
      </w:pPr>
    </w:p>
    <w:p w:rsidR="001B46BD" w:rsidRDefault="001B46BD">
      <w:pPr>
        <w:pStyle w:val="BodyTextIndent"/>
        <w:jc w:val="center"/>
        <w:rPr>
          <w:b/>
        </w:rPr>
      </w:pPr>
    </w:p>
    <w:p w:rsidR="001B46BD" w:rsidRDefault="001B46BD">
      <w:pPr>
        <w:pStyle w:val="BodyTextIndent"/>
        <w:jc w:val="center"/>
        <w:rPr>
          <w:b/>
        </w:rPr>
      </w:pPr>
    </w:p>
    <w:p w:rsidR="001B46BD" w:rsidRDefault="001B46BD">
      <w:pPr>
        <w:pStyle w:val="BodyTextIndent"/>
        <w:jc w:val="center"/>
        <w:rPr>
          <w:b/>
        </w:rPr>
      </w:pPr>
    </w:p>
    <w:p w:rsidR="001B46BD" w:rsidRDefault="001B46BD">
      <w:pPr>
        <w:pStyle w:val="BodyTextIndent"/>
        <w:jc w:val="center"/>
        <w:rPr>
          <w:b/>
        </w:rPr>
      </w:pPr>
    </w:p>
    <w:p w:rsidR="001B46BD" w:rsidRDefault="001B46BD">
      <w:pPr>
        <w:pStyle w:val="BodyTextIndent"/>
        <w:jc w:val="center"/>
        <w:rPr>
          <w:b/>
        </w:rPr>
      </w:pPr>
    </w:p>
    <w:p w:rsidR="001B46BD" w:rsidRDefault="001B46BD">
      <w:pPr>
        <w:pStyle w:val="BodyTextIndent"/>
        <w:jc w:val="center"/>
        <w:rPr>
          <w:b/>
        </w:rPr>
      </w:pPr>
    </w:p>
    <w:p w:rsidR="001B46BD" w:rsidRDefault="001B46BD">
      <w:pPr>
        <w:pStyle w:val="BodyTextIndent"/>
        <w:jc w:val="center"/>
        <w:rPr>
          <w:b/>
        </w:rPr>
      </w:pPr>
    </w:p>
    <w:p w:rsidR="001B46BD" w:rsidRDefault="001B46BD">
      <w:pPr>
        <w:pStyle w:val="BodyTextIndent"/>
        <w:jc w:val="center"/>
        <w:rPr>
          <w:b/>
        </w:rPr>
      </w:pPr>
    </w:p>
    <w:p w:rsidR="001B46BD" w:rsidRDefault="001B46BD">
      <w:pPr>
        <w:pStyle w:val="BodyTextIndent"/>
        <w:jc w:val="center"/>
        <w:rPr>
          <w:b/>
        </w:rPr>
      </w:pPr>
    </w:p>
    <w:p w:rsidR="001B46BD" w:rsidRDefault="001B46BD">
      <w:pPr>
        <w:pStyle w:val="BodyTextIndent"/>
        <w:jc w:val="center"/>
        <w:rPr>
          <w:b/>
        </w:rPr>
      </w:pPr>
    </w:p>
    <w:p w:rsidR="001B46BD" w:rsidRDefault="001B46BD">
      <w:pPr>
        <w:pStyle w:val="BodyTextIndent"/>
        <w:jc w:val="center"/>
        <w:rPr>
          <w:b/>
        </w:rPr>
      </w:pPr>
    </w:p>
    <w:p w:rsidR="001B46BD" w:rsidRDefault="001B46BD">
      <w:pPr>
        <w:pStyle w:val="BodyTextIndent"/>
        <w:jc w:val="center"/>
        <w:rPr>
          <w:b/>
        </w:rPr>
        <w:sectPr w:rsidR="001B46BD">
          <w:type w:val="continuous"/>
          <w:pgSz w:w="12240" w:h="15840"/>
          <w:pgMar w:top="1440" w:right="1800" w:bottom="1440" w:left="1800" w:header="720" w:footer="720" w:gutter="0"/>
          <w:pgNumType w:start="0"/>
          <w:cols w:space="720"/>
          <w:titlePg/>
          <w:docGrid w:linePitch="360"/>
        </w:sectPr>
      </w:pPr>
    </w:p>
    <w:p w:rsidR="001B46BD" w:rsidRDefault="00575911">
      <w:pPr>
        <w:pStyle w:val="BodyTextIndent"/>
        <w:spacing w:line="360" w:lineRule="auto"/>
        <w:ind w:firstLine="0"/>
        <w:jc w:val="center"/>
        <w:rPr>
          <w:b/>
          <w:caps/>
          <w:sz w:val="28"/>
          <w:u w:val="single"/>
        </w:rPr>
      </w:pPr>
      <w:r>
        <w:rPr>
          <w:b/>
          <w:caps/>
          <w:sz w:val="28"/>
          <w:u w:val="single"/>
        </w:rPr>
        <w:lastRenderedPageBreak/>
        <w:t>Executive Summary</w:t>
      </w:r>
    </w:p>
    <w:p w:rsidR="001B46BD" w:rsidRDefault="001B46BD">
      <w:pPr>
        <w:pStyle w:val="BodyTextIndent"/>
        <w:spacing w:line="360" w:lineRule="auto"/>
        <w:ind w:firstLine="0"/>
        <w:jc w:val="center"/>
        <w:rPr>
          <w:b/>
        </w:rPr>
      </w:pPr>
    </w:p>
    <w:p w:rsidR="001B46BD" w:rsidRDefault="00575911">
      <w:pPr>
        <w:pStyle w:val="BodyTextIndent"/>
        <w:spacing w:line="360" w:lineRule="auto"/>
      </w:pPr>
      <w:r>
        <w:t xml:space="preserve">In 2000, the U.S. Army Corps of Engineers Fisheries Field Unit initiated a program to evaluate the downstream passage behavior of post-spawned steelhead (kelts; </w:t>
      </w:r>
      <w:r>
        <w:rPr>
          <w:i/>
        </w:rPr>
        <w:t>Oncorhynchus mykiss</w:t>
      </w:r>
      <w:r>
        <w:t>) at Bonneville Dam.  The primary goal of this study was to develop a better understanding of the efficacy of prototype and existing juvenile bypass structures in passing steelhead kelts migrating back to the Pacific Ocean.  This information can then be used to determine whether operational or structural improvements could be implemented to enhance steelhead survival and reproductive productivity.</w:t>
      </w:r>
    </w:p>
    <w:p w:rsidR="001B46BD" w:rsidRDefault="001B46BD">
      <w:pPr>
        <w:pStyle w:val="BodyTextIndent"/>
        <w:spacing w:line="360" w:lineRule="auto"/>
      </w:pPr>
    </w:p>
    <w:p w:rsidR="001B46BD" w:rsidRDefault="00575911">
      <w:pPr>
        <w:pStyle w:val="BodyTextIndent"/>
        <w:spacing w:line="360" w:lineRule="auto"/>
      </w:pPr>
      <w:r>
        <w:t>Radio-telemetry was used to monitor the downstream passage behavior of steelhead kelts released above Bonneville.  The objectives of this research were to determine: 1) the behavior (e.g., holding, milling) and residence times of kelts once in the near dam forebay area (~ 100 m); and 2) passage of kelts through existing and prototype bypass structures (i.e., prototype surface collector, submerged traveling screens, extended submersible bar screens, ice and trash sluiceway), and other potential passage routes (e.g., spillway, navigation lock, and turbine units).  The results of the 2000 evaluation are summarized as follows.</w:t>
      </w:r>
    </w:p>
    <w:p w:rsidR="001B46BD" w:rsidRDefault="001B46BD">
      <w:pPr>
        <w:pStyle w:val="BodyTextIndent"/>
        <w:spacing w:line="360" w:lineRule="auto"/>
        <w:ind w:firstLine="0"/>
        <w:rPr>
          <w:b/>
        </w:rPr>
      </w:pPr>
    </w:p>
    <w:p w:rsidR="001B46BD" w:rsidRDefault="00575911">
      <w:pPr>
        <w:pStyle w:val="BodyTextIndent"/>
        <w:spacing w:line="360" w:lineRule="auto"/>
        <w:ind w:firstLine="0"/>
      </w:pPr>
      <w:r>
        <w:rPr>
          <w:b/>
        </w:rPr>
        <w:t xml:space="preserve">General: </w:t>
      </w:r>
      <w:r>
        <w:t>Radio-tags were attached to 148</w:t>
      </w:r>
      <w:r>
        <w:rPr>
          <w:smallCaps/>
        </w:rPr>
        <w:t xml:space="preserve"> </w:t>
      </w:r>
      <w:r>
        <w:t xml:space="preserve">Snake River (SnR) steelhead kelts with tagged kelts transported to and released at the Cascade Locks or Stevenson boat ramp.  In addition, </w:t>
      </w:r>
      <w:proofErr w:type="gramStart"/>
      <w:r>
        <w:t>11</w:t>
      </w:r>
      <w:r>
        <w:rPr>
          <w:smallCaps/>
        </w:rPr>
        <w:t xml:space="preserve"> </w:t>
      </w:r>
      <w:r>
        <w:t>air-spawned Hood River (HR) female</w:t>
      </w:r>
      <w:r>
        <w:rPr>
          <w:rStyle w:val="FootnoteReference"/>
        </w:rPr>
        <w:footnoteReference w:customMarkFollows="1" w:id="1"/>
        <w:t>1</w:t>
      </w:r>
      <w:r>
        <w:rPr>
          <w:vertAlign w:val="superscript"/>
        </w:rPr>
        <w:t xml:space="preserve"> </w:t>
      </w:r>
      <w:r>
        <w:t>steelhead</w:t>
      </w:r>
      <w:proofErr w:type="gramEnd"/>
      <w:r>
        <w:t xml:space="preserve"> were radio-tagged and released at the same locations to evaluate the downstream passage behavior of these Bonneville Pool steelhead.  Of the 159 tagged and released kelts, </w:t>
      </w:r>
      <w:r>
        <w:rPr>
          <w:smallCaps/>
        </w:rPr>
        <w:t xml:space="preserve">91% </w:t>
      </w:r>
      <w:r>
        <w:t xml:space="preserve">were contacted before </w:t>
      </w:r>
      <w:proofErr w:type="gramStart"/>
      <w:r>
        <w:t>passing,</w:t>
      </w:r>
      <w:proofErr w:type="gramEnd"/>
      <w:r>
        <w:t xml:space="preserve"> and 93% after passing through Bonneville Dam.  Similarly, of the kelts for which there are full passage histories</w:t>
      </w:r>
      <w:r>
        <w:rPr>
          <w:rStyle w:val="FootnoteReference"/>
        </w:rPr>
        <w:footnoteReference w:customMarkFollows="1" w:id="2"/>
        <w:t>2</w:t>
      </w:r>
      <w:r>
        <w:t xml:space="preserve">, 89% were contacted at the exit station, approximately 3.5 km below Bonneville Dam.  There are no contact records for three of the released kelts (2 SnR, 1 HR).  </w:t>
      </w:r>
      <w:proofErr w:type="gramStart"/>
      <w:r>
        <w:t xml:space="preserve">Two air-spawned steelhead from </w:t>
      </w:r>
      <w:r>
        <w:lastRenderedPageBreak/>
        <w:t>the Hood River</w:t>
      </w:r>
      <w:proofErr w:type="gramEnd"/>
      <w:r>
        <w:t xml:space="preserve"> were released at Cascade Locks and only contacted at sites above Bonneville Dam.</w:t>
      </w:r>
    </w:p>
    <w:p w:rsidR="001B46BD" w:rsidRDefault="001B46BD">
      <w:pPr>
        <w:pStyle w:val="BodyTextIndent"/>
        <w:spacing w:line="360" w:lineRule="auto"/>
        <w:ind w:firstLine="0"/>
        <w:rPr>
          <w:b/>
          <w:bCs/>
        </w:rPr>
      </w:pPr>
    </w:p>
    <w:p w:rsidR="001B46BD" w:rsidRDefault="00575911">
      <w:pPr>
        <w:pStyle w:val="BodyTextIndent"/>
        <w:spacing w:line="360" w:lineRule="auto"/>
        <w:ind w:firstLine="0"/>
      </w:pPr>
      <w:r>
        <w:rPr>
          <w:b/>
          <w:bCs/>
        </w:rPr>
        <w:t xml:space="preserve">Project Operations:  </w:t>
      </w:r>
      <w:r>
        <w:t xml:space="preserve">Total discharge at Bonneville Dam between 15 March and 15 June was moderate and ranged from 164.4 kcfs to 387.1 kcfs.  The spill discharge ranged from zero kcfs during the two days prior to our first release of tagged kelts at Cascade Locks, to 143.8 kcfs through the spring study period.  The percentage of the total discharge that passed through the spillway increased in April and remained relatively steady through May.  During April through June discharge from Powerhouse II decreased, with Powerhouse I discharge remaining constant, averaging 98.8 kcfs for the study period. </w:t>
      </w:r>
    </w:p>
    <w:p w:rsidR="001B46BD" w:rsidRDefault="001B46BD">
      <w:pPr>
        <w:pStyle w:val="BodyTextIndent"/>
        <w:spacing w:line="360" w:lineRule="auto"/>
      </w:pPr>
    </w:p>
    <w:p w:rsidR="001B46BD" w:rsidRDefault="00575911">
      <w:pPr>
        <w:pStyle w:val="BodyTextIndent"/>
        <w:spacing w:line="360" w:lineRule="auto"/>
        <w:ind w:firstLine="0"/>
        <w:rPr>
          <w:b/>
          <w:bCs/>
        </w:rPr>
      </w:pPr>
      <w:r>
        <w:rPr>
          <w:b/>
        </w:rPr>
        <w:t xml:space="preserve">Passage Summary:  </w:t>
      </w:r>
      <w:r>
        <w:t>Overall, 39.5% of tagged kelts passed through the spillway, 39.5% through Powerhouse I, and 21% through Powerhouse II.  At Powerhouse I, 83% (43/52) of tagged kelts passed through turbine units, 8</w:t>
      </w:r>
      <w:r>
        <w:rPr>
          <w:smallCaps/>
        </w:rPr>
        <w:t xml:space="preserve">% (4/52) </w:t>
      </w:r>
      <w:r>
        <w:t>routed through the prototype surface collector into the ice and trash sluiceway, and 10% (5/52) were guided by submerged traveling screens into gatewells, and subsequently passed through gatewell orifices into the juvenile bypass system.  At Powerhouse II, 79% (23/29) of tagged kelts passed turbine units and 21% of kelts were guided by submerged traveling screens into gatewells, thereafter, passing through gatewell orifices into the juvenile bypass system.</w:t>
      </w:r>
    </w:p>
    <w:p w:rsidR="001B46BD" w:rsidRDefault="001B46BD">
      <w:pPr>
        <w:pStyle w:val="BodyTextIndent"/>
        <w:spacing w:line="360" w:lineRule="auto"/>
        <w:ind w:firstLine="0"/>
        <w:rPr>
          <w:b/>
        </w:rPr>
      </w:pPr>
    </w:p>
    <w:p w:rsidR="001B46BD" w:rsidRDefault="00575911">
      <w:pPr>
        <w:pStyle w:val="BodyTextIndent"/>
        <w:spacing w:line="360" w:lineRule="auto"/>
        <w:ind w:firstLine="0"/>
      </w:pPr>
      <w:r>
        <w:rPr>
          <w:b/>
        </w:rPr>
        <w:t xml:space="preserve">Residence times and behaviors of kelts in the near dam forebay area:  </w:t>
      </w:r>
      <w:r>
        <w:t>Median final forebay residence (hh:mm) times were longest at Powerhouse I (PH I; 8:39), followed by Powerhouse II (PH II; 4:34), with significantly shorter times than either Powerhouse I (Wilcoxon, P &lt; 0.0001) or Powerhouse II (Wilcoxon, P = 0.0001) at the spillway (0:15)</w:t>
      </w:r>
      <w:proofErr w:type="gramStart"/>
      <w:r>
        <w:t>.</w:t>
      </w:r>
      <w:r>
        <w:rPr>
          <w:b/>
        </w:rPr>
        <w:t xml:space="preserve"> </w:t>
      </w:r>
      <w:proofErr w:type="gramEnd"/>
      <w:r>
        <w:t xml:space="preserve">Of the kelts for which there are full passage histories, </w:t>
      </w:r>
      <w:r>
        <w:rPr>
          <w:smallCaps/>
        </w:rPr>
        <w:t>78% (109/139)</w:t>
      </w:r>
      <w:r>
        <w:t xml:space="preserve"> passed the dam through the initial site (i.e., forebay) they contacted.  In contrast, 17% of kelts switched sites once, 4% switched sites twice, and one </w:t>
      </w:r>
      <w:proofErr w:type="gramStart"/>
      <w:r>
        <w:t>kelt</w:t>
      </w:r>
      <w:proofErr w:type="gramEnd"/>
      <w:r>
        <w:t xml:space="preserve"> switched sites three times before passage.  </w:t>
      </w:r>
    </w:p>
    <w:p w:rsidR="001B46BD" w:rsidRDefault="001B46BD">
      <w:pPr>
        <w:pStyle w:val="BodyTextIndent"/>
        <w:spacing w:line="360" w:lineRule="auto"/>
        <w:ind w:firstLine="0"/>
        <w:rPr>
          <w:b/>
          <w:bCs/>
        </w:rPr>
      </w:pPr>
    </w:p>
    <w:p w:rsidR="001B46BD" w:rsidRDefault="001B46BD">
      <w:pPr>
        <w:pStyle w:val="BodyTextIndent"/>
        <w:spacing w:line="360" w:lineRule="auto"/>
        <w:ind w:firstLine="0"/>
        <w:rPr>
          <w:b/>
          <w:bCs/>
        </w:rPr>
      </w:pPr>
    </w:p>
    <w:p w:rsidR="001B46BD" w:rsidRDefault="001B46BD">
      <w:pPr>
        <w:pStyle w:val="BodyTextIndent"/>
        <w:ind w:firstLine="0"/>
        <w:rPr>
          <w:b/>
          <w:bCs/>
        </w:rPr>
      </w:pPr>
    </w:p>
    <w:p w:rsidR="001B46BD" w:rsidRDefault="001B46BD">
      <w:pPr>
        <w:pStyle w:val="BodyTextIndent"/>
        <w:ind w:firstLine="0"/>
        <w:rPr>
          <w:b/>
          <w:bCs/>
        </w:rPr>
      </w:pPr>
    </w:p>
    <w:p w:rsidR="001B46BD" w:rsidRDefault="001B46BD">
      <w:pPr>
        <w:pStyle w:val="BodyTextIndent"/>
        <w:ind w:firstLine="0"/>
        <w:rPr>
          <w:b/>
          <w:bCs/>
        </w:rPr>
      </w:pPr>
    </w:p>
    <w:p w:rsidR="001B46BD" w:rsidRDefault="00575911">
      <w:pPr>
        <w:pStyle w:val="BodyTextIndent"/>
        <w:jc w:val="center"/>
        <w:rPr>
          <w:b/>
          <w:caps/>
          <w:sz w:val="28"/>
          <w:u w:val="single"/>
        </w:rPr>
      </w:pPr>
      <w:r>
        <w:rPr>
          <w:b/>
          <w:caps/>
          <w:sz w:val="28"/>
          <w:u w:val="single"/>
        </w:rPr>
        <w:lastRenderedPageBreak/>
        <w:t>Table of Contents</w:t>
      </w:r>
    </w:p>
    <w:p w:rsidR="001B46BD" w:rsidRDefault="001B46BD">
      <w:pPr>
        <w:pStyle w:val="BodyTextIndent"/>
        <w:jc w:val="center"/>
        <w:rPr>
          <w:b/>
        </w:rPr>
      </w:pPr>
    </w:p>
    <w:p w:rsidR="001B46BD" w:rsidRDefault="001B46BD">
      <w:pPr>
        <w:pStyle w:val="BodyTextIndent"/>
        <w:rPr>
          <w:b/>
        </w:rPr>
      </w:pPr>
    </w:p>
    <w:p w:rsidR="001B46BD" w:rsidRDefault="00575911" w:rsidP="00210D36">
      <w:pPr>
        <w:pStyle w:val="BodyTextIndent"/>
        <w:tabs>
          <w:tab w:val="left" w:pos="7920"/>
        </w:tabs>
        <w:spacing w:line="276" w:lineRule="auto"/>
        <w:ind w:left="0" w:firstLine="0"/>
      </w:pPr>
      <w:r>
        <w:t xml:space="preserve">EXECUTIVE SUMMARY…………………………………………………         </w:t>
      </w:r>
      <w:r>
        <w:tab/>
        <w:t>i</w:t>
      </w:r>
    </w:p>
    <w:p w:rsidR="001B46BD" w:rsidRDefault="00575911" w:rsidP="00210D36">
      <w:pPr>
        <w:pStyle w:val="BodyTextIndent"/>
        <w:tabs>
          <w:tab w:val="left" w:pos="7920"/>
        </w:tabs>
        <w:spacing w:line="276" w:lineRule="auto"/>
        <w:ind w:left="0" w:firstLine="0"/>
        <w:rPr>
          <w:b/>
        </w:rPr>
      </w:pPr>
      <w:r>
        <w:rPr>
          <w:caps/>
        </w:rPr>
        <w:t xml:space="preserve">Table of Contents …………………………………………………     </w:t>
      </w:r>
      <w:r>
        <w:rPr>
          <w:b/>
        </w:rPr>
        <w:t xml:space="preserve">         </w:t>
      </w:r>
      <w:r>
        <w:rPr>
          <w:bCs/>
        </w:rPr>
        <w:t>iii</w:t>
      </w:r>
    </w:p>
    <w:p w:rsidR="001B46BD" w:rsidRDefault="00575911" w:rsidP="00210D36">
      <w:pPr>
        <w:pStyle w:val="BodyTextIndent"/>
        <w:tabs>
          <w:tab w:val="left" w:pos="7920"/>
        </w:tabs>
        <w:spacing w:line="276" w:lineRule="auto"/>
        <w:ind w:left="0" w:right="360" w:firstLine="0"/>
      </w:pPr>
      <w:r>
        <w:t>LIST OF TABLES AND FIGURES…….…………………………………             v</w:t>
      </w:r>
    </w:p>
    <w:p w:rsidR="00210D36" w:rsidRDefault="00210D36" w:rsidP="00210D36">
      <w:pPr>
        <w:pStyle w:val="BodyTextIndent"/>
        <w:tabs>
          <w:tab w:val="left" w:pos="7920"/>
        </w:tabs>
        <w:spacing w:line="276" w:lineRule="auto"/>
        <w:ind w:left="0" w:firstLine="0"/>
        <w:rPr>
          <w:caps/>
        </w:rPr>
      </w:pPr>
    </w:p>
    <w:p w:rsidR="001B46BD" w:rsidRDefault="00575911" w:rsidP="00210D36">
      <w:pPr>
        <w:pStyle w:val="BodyTextIndent"/>
        <w:tabs>
          <w:tab w:val="left" w:pos="7920"/>
        </w:tabs>
        <w:spacing w:line="276" w:lineRule="auto"/>
        <w:ind w:left="0" w:firstLine="0"/>
      </w:pPr>
      <w:r>
        <w:rPr>
          <w:caps/>
        </w:rPr>
        <w:t>Introduction</w:t>
      </w:r>
      <w:r>
        <w:t xml:space="preserve">…………………………………………………………. </w:t>
      </w:r>
      <w:r>
        <w:tab/>
        <w:t>1</w:t>
      </w:r>
    </w:p>
    <w:p w:rsidR="00210D36" w:rsidRDefault="00210D36" w:rsidP="00210D36">
      <w:pPr>
        <w:pStyle w:val="BodyTextIndent"/>
        <w:tabs>
          <w:tab w:val="left" w:pos="7200"/>
          <w:tab w:val="left" w:pos="7920"/>
        </w:tabs>
        <w:spacing w:line="276" w:lineRule="auto"/>
        <w:ind w:left="0" w:firstLine="0"/>
        <w:rPr>
          <w:caps/>
        </w:rPr>
      </w:pPr>
    </w:p>
    <w:p w:rsidR="001B46BD" w:rsidRDefault="00575911" w:rsidP="00210D36">
      <w:pPr>
        <w:pStyle w:val="BodyTextIndent"/>
        <w:tabs>
          <w:tab w:val="left" w:pos="7200"/>
          <w:tab w:val="left" w:pos="7920"/>
        </w:tabs>
        <w:spacing w:line="360" w:lineRule="auto"/>
        <w:ind w:left="0" w:firstLine="0"/>
        <w:rPr>
          <w:b/>
        </w:rPr>
      </w:pPr>
      <w:r>
        <w:rPr>
          <w:caps/>
        </w:rPr>
        <w:t>Methods</w:t>
      </w:r>
      <w:r>
        <w:t xml:space="preserve">………………………………………………………………… </w:t>
      </w:r>
      <w:r>
        <w:tab/>
        <w:t>2</w:t>
      </w:r>
    </w:p>
    <w:p w:rsidR="001B46BD" w:rsidRDefault="00575911" w:rsidP="00210D36">
      <w:pPr>
        <w:pStyle w:val="BodyTextIndent"/>
        <w:tabs>
          <w:tab w:val="left" w:pos="7920"/>
        </w:tabs>
        <w:spacing w:line="276" w:lineRule="auto"/>
        <w:ind w:left="0"/>
      </w:pPr>
      <w:r>
        <w:t>Study Site….</w:t>
      </w:r>
      <w:proofErr w:type="gramStart"/>
      <w:r>
        <w:t>….…………..………………………………………</w:t>
      </w:r>
      <w:proofErr w:type="gramEnd"/>
      <w:r>
        <w:tab/>
        <w:t>2</w:t>
      </w:r>
    </w:p>
    <w:p w:rsidR="001B46BD" w:rsidRDefault="00575911" w:rsidP="00210D36">
      <w:pPr>
        <w:pStyle w:val="BodyTextIndent"/>
        <w:tabs>
          <w:tab w:val="left" w:pos="7920"/>
        </w:tabs>
        <w:spacing w:line="276" w:lineRule="auto"/>
        <w:ind w:left="0"/>
      </w:pPr>
      <w:r>
        <w:t xml:space="preserve">Fixed Receiving System Equipment and </w:t>
      </w:r>
      <w:proofErr w:type="gramStart"/>
      <w:r>
        <w:t>Transmitters  …</w:t>
      </w:r>
      <w:proofErr w:type="gramEnd"/>
      <w:r>
        <w:t>………</w:t>
      </w:r>
      <w:r>
        <w:tab/>
        <w:t>2</w:t>
      </w:r>
    </w:p>
    <w:p w:rsidR="001B46BD" w:rsidRDefault="00575911" w:rsidP="00210D36">
      <w:pPr>
        <w:pStyle w:val="BodyTextIndent"/>
        <w:tabs>
          <w:tab w:val="left" w:pos="7920"/>
        </w:tabs>
        <w:spacing w:line="276" w:lineRule="auto"/>
        <w:ind w:left="0"/>
        <w:jc w:val="both"/>
      </w:pPr>
      <w:r>
        <w:t xml:space="preserve">Data Management and Analysis   …………………………………  </w:t>
      </w:r>
      <w:r>
        <w:tab/>
        <w:t>3</w:t>
      </w:r>
    </w:p>
    <w:p w:rsidR="001B46BD" w:rsidRDefault="00575911" w:rsidP="00210D36">
      <w:pPr>
        <w:pStyle w:val="BodyTextIndent"/>
        <w:tabs>
          <w:tab w:val="left" w:pos="7920"/>
        </w:tabs>
        <w:spacing w:line="276" w:lineRule="auto"/>
        <w:ind w:left="0"/>
        <w:jc w:val="both"/>
      </w:pPr>
      <w:r>
        <w:t xml:space="preserve">Kelt Collection, Tagging, Transport, and Release…………………. </w:t>
      </w:r>
      <w:r>
        <w:tab/>
        <w:t>5</w:t>
      </w:r>
    </w:p>
    <w:p w:rsidR="00210D36" w:rsidRDefault="00210D36" w:rsidP="00210D36">
      <w:pPr>
        <w:pStyle w:val="BodyTextIndent"/>
        <w:tabs>
          <w:tab w:val="left" w:pos="7920"/>
        </w:tabs>
        <w:spacing w:line="276" w:lineRule="auto"/>
        <w:ind w:left="0" w:firstLine="0"/>
        <w:jc w:val="both"/>
        <w:rPr>
          <w:caps/>
        </w:rPr>
      </w:pPr>
    </w:p>
    <w:p w:rsidR="001B46BD" w:rsidRDefault="00575911" w:rsidP="00210D36">
      <w:pPr>
        <w:pStyle w:val="BodyTextIndent"/>
        <w:tabs>
          <w:tab w:val="left" w:pos="7920"/>
        </w:tabs>
        <w:spacing w:line="360" w:lineRule="auto"/>
        <w:ind w:left="0" w:firstLine="0"/>
        <w:jc w:val="both"/>
      </w:pPr>
      <w:r>
        <w:rPr>
          <w:caps/>
        </w:rPr>
        <w:t>Results</w:t>
      </w:r>
    </w:p>
    <w:p w:rsidR="001B46BD" w:rsidRDefault="00575911" w:rsidP="00210D36">
      <w:pPr>
        <w:pStyle w:val="BodyTextIndent"/>
        <w:tabs>
          <w:tab w:val="left" w:pos="7920"/>
        </w:tabs>
        <w:spacing w:line="276" w:lineRule="auto"/>
        <w:ind w:left="0"/>
        <w:jc w:val="both"/>
      </w:pPr>
      <w:r>
        <w:t xml:space="preserve">Project Operations………………………………………………….. </w:t>
      </w:r>
      <w:r>
        <w:tab/>
        <w:t>7</w:t>
      </w:r>
    </w:p>
    <w:p w:rsidR="001B46BD" w:rsidRDefault="00575911" w:rsidP="00210D36">
      <w:pPr>
        <w:pStyle w:val="BodyTextIndent"/>
        <w:tabs>
          <w:tab w:val="left" w:pos="7920"/>
        </w:tabs>
        <w:spacing w:line="276" w:lineRule="auto"/>
        <w:ind w:left="0"/>
        <w:jc w:val="both"/>
      </w:pPr>
      <w:r>
        <w:t>Number of Kelts Conta</w:t>
      </w:r>
      <w:r w:rsidR="00003364">
        <w:t xml:space="preserve">cted….………………………………………          </w:t>
      </w:r>
      <w:r>
        <w:t>7</w:t>
      </w:r>
    </w:p>
    <w:p w:rsidR="001B46BD" w:rsidRDefault="00575911" w:rsidP="00210D36">
      <w:pPr>
        <w:pStyle w:val="BodyTextIndent"/>
        <w:tabs>
          <w:tab w:val="left" w:pos="7920"/>
        </w:tabs>
        <w:spacing w:line="276" w:lineRule="auto"/>
        <w:ind w:left="720" w:firstLine="0"/>
        <w:jc w:val="both"/>
      </w:pPr>
      <w:r>
        <w:t>Passage efficiencies…………</w:t>
      </w:r>
      <w:r w:rsidR="00210D36">
        <w:t>……… ……………………………..</w:t>
      </w:r>
      <w:r w:rsidR="00210D36">
        <w:tab/>
      </w:r>
      <w:r>
        <w:t xml:space="preserve">7 </w:t>
      </w:r>
    </w:p>
    <w:p w:rsidR="001B46BD" w:rsidRDefault="00575911" w:rsidP="00210D36">
      <w:pPr>
        <w:pStyle w:val="BodyTextIndent"/>
        <w:tabs>
          <w:tab w:val="left" w:pos="7920"/>
        </w:tabs>
        <w:spacing w:line="276" w:lineRule="auto"/>
        <w:ind w:left="720"/>
        <w:jc w:val="both"/>
      </w:pPr>
      <w:r>
        <w:t>PH I</w:t>
      </w:r>
      <w:proofErr w:type="gramStart"/>
      <w:r>
        <w:t>…………..……………………....……………………</w:t>
      </w:r>
      <w:proofErr w:type="gramEnd"/>
      <w:r>
        <w:t>..</w:t>
      </w:r>
      <w:r>
        <w:tab/>
        <w:t>7</w:t>
      </w:r>
    </w:p>
    <w:p w:rsidR="001B46BD" w:rsidRDefault="00575911" w:rsidP="00210D36">
      <w:pPr>
        <w:pStyle w:val="BodyTextIndent"/>
        <w:tabs>
          <w:tab w:val="left" w:pos="7920"/>
        </w:tabs>
        <w:spacing w:line="276" w:lineRule="auto"/>
        <w:ind w:left="720"/>
        <w:jc w:val="both"/>
      </w:pPr>
      <w:r>
        <w:t>PH I Prototype Surface Collector…………………………..</w:t>
      </w:r>
      <w:r>
        <w:tab/>
        <w:t>8</w:t>
      </w:r>
    </w:p>
    <w:p w:rsidR="001B46BD" w:rsidRDefault="00575911" w:rsidP="00210D36">
      <w:pPr>
        <w:pStyle w:val="BodyTextIndent"/>
        <w:tabs>
          <w:tab w:val="left" w:pos="7920"/>
        </w:tabs>
        <w:spacing w:line="276" w:lineRule="auto"/>
        <w:ind w:left="720"/>
        <w:jc w:val="both"/>
      </w:pPr>
      <w:r>
        <w:t>PH II…………………………………………………………</w:t>
      </w:r>
      <w:r>
        <w:tab/>
        <w:t>8</w:t>
      </w:r>
    </w:p>
    <w:p w:rsidR="001B46BD" w:rsidRDefault="00575911" w:rsidP="00210D36">
      <w:pPr>
        <w:pStyle w:val="BodyTextIndent"/>
        <w:tabs>
          <w:tab w:val="left" w:pos="7920"/>
        </w:tabs>
        <w:spacing w:line="276" w:lineRule="auto"/>
        <w:ind w:left="720"/>
        <w:jc w:val="both"/>
      </w:pPr>
      <w:r>
        <w:t>Spillway…………………………………………………….</w:t>
      </w:r>
      <w:r>
        <w:tab/>
        <w:t>9</w:t>
      </w:r>
    </w:p>
    <w:p w:rsidR="001B46BD" w:rsidRDefault="00575911" w:rsidP="00210D36">
      <w:pPr>
        <w:pStyle w:val="BodyTextIndent"/>
        <w:tabs>
          <w:tab w:val="left" w:pos="7920"/>
        </w:tabs>
        <w:spacing w:line="276" w:lineRule="auto"/>
        <w:ind w:left="720" w:firstLine="0"/>
        <w:jc w:val="both"/>
      </w:pPr>
      <w:proofErr w:type="gramStart"/>
      <w:r>
        <w:t>Behavior  …</w:t>
      </w:r>
      <w:proofErr w:type="gramEnd"/>
      <w:r>
        <w:t>………………………………………………………...</w:t>
      </w:r>
      <w:r>
        <w:tab/>
        <w:t>9</w:t>
      </w:r>
    </w:p>
    <w:p w:rsidR="00210D36" w:rsidRDefault="00210D36" w:rsidP="00210D36">
      <w:pPr>
        <w:pStyle w:val="BodyTextIndent"/>
        <w:tabs>
          <w:tab w:val="left" w:pos="7920"/>
        </w:tabs>
        <w:spacing w:line="276" w:lineRule="auto"/>
        <w:ind w:left="0" w:firstLine="0"/>
        <w:jc w:val="both"/>
        <w:rPr>
          <w:caps/>
        </w:rPr>
      </w:pPr>
    </w:p>
    <w:p w:rsidR="001B46BD" w:rsidRDefault="00575911" w:rsidP="00210D36">
      <w:pPr>
        <w:pStyle w:val="BodyTextIndent"/>
        <w:tabs>
          <w:tab w:val="left" w:pos="7920"/>
        </w:tabs>
        <w:spacing w:line="276" w:lineRule="auto"/>
        <w:ind w:left="0" w:firstLine="0"/>
        <w:jc w:val="both"/>
      </w:pPr>
      <w:r>
        <w:rPr>
          <w:caps/>
        </w:rPr>
        <w:t>Project Summary &amp; Discussion</w:t>
      </w:r>
      <w:r>
        <w:t>…………………………………</w:t>
      </w:r>
      <w:r>
        <w:tab/>
        <w:t>10</w:t>
      </w:r>
    </w:p>
    <w:p w:rsidR="00210D36" w:rsidRDefault="00210D36" w:rsidP="00210D36">
      <w:pPr>
        <w:pStyle w:val="BodyTextIndent"/>
        <w:tabs>
          <w:tab w:val="left" w:pos="7920"/>
        </w:tabs>
        <w:spacing w:line="276" w:lineRule="auto"/>
        <w:ind w:left="0" w:firstLine="0"/>
        <w:jc w:val="both"/>
        <w:rPr>
          <w:caps/>
        </w:rPr>
      </w:pPr>
    </w:p>
    <w:p w:rsidR="001B46BD" w:rsidRDefault="00575911" w:rsidP="00210D36">
      <w:pPr>
        <w:pStyle w:val="BodyTextIndent"/>
        <w:tabs>
          <w:tab w:val="left" w:pos="7920"/>
        </w:tabs>
        <w:spacing w:line="276" w:lineRule="auto"/>
        <w:ind w:left="0" w:firstLine="0"/>
        <w:jc w:val="both"/>
      </w:pPr>
      <w:r>
        <w:rPr>
          <w:caps/>
        </w:rPr>
        <w:t>Acknowledgements</w:t>
      </w:r>
      <w:r>
        <w:t>………………………………………………..</w:t>
      </w:r>
      <w:r>
        <w:tab/>
        <w:t>12</w:t>
      </w:r>
    </w:p>
    <w:p w:rsidR="00210D36" w:rsidRDefault="00210D36" w:rsidP="00210D36">
      <w:pPr>
        <w:pStyle w:val="BodyTextIndent"/>
        <w:tabs>
          <w:tab w:val="left" w:pos="7920"/>
        </w:tabs>
        <w:spacing w:line="276" w:lineRule="auto"/>
        <w:ind w:left="0" w:firstLine="0"/>
        <w:jc w:val="both"/>
        <w:rPr>
          <w:caps/>
        </w:rPr>
      </w:pPr>
    </w:p>
    <w:p w:rsidR="001B46BD" w:rsidRDefault="00575911" w:rsidP="00210D36">
      <w:pPr>
        <w:pStyle w:val="BodyTextIndent"/>
        <w:tabs>
          <w:tab w:val="left" w:pos="7920"/>
        </w:tabs>
        <w:spacing w:line="276" w:lineRule="auto"/>
        <w:ind w:left="0" w:firstLine="0"/>
        <w:jc w:val="both"/>
      </w:pPr>
      <w:r>
        <w:rPr>
          <w:caps/>
        </w:rPr>
        <w:t>References</w:t>
      </w:r>
      <w:proofErr w:type="gramStart"/>
      <w:r>
        <w:t>…………………..…………………………………………</w:t>
      </w:r>
      <w:proofErr w:type="gramEnd"/>
      <w:r>
        <w:tab/>
        <w:t>13</w:t>
      </w:r>
    </w:p>
    <w:p w:rsidR="00210D36" w:rsidRDefault="00210D36" w:rsidP="00210D36">
      <w:pPr>
        <w:pStyle w:val="BodyTextIndent"/>
        <w:tabs>
          <w:tab w:val="left" w:pos="7920"/>
        </w:tabs>
        <w:spacing w:line="276" w:lineRule="auto"/>
        <w:ind w:left="0" w:firstLine="0"/>
        <w:jc w:val="both"/>
      </w:pPr>
    </w:p>
    <w:p w:rsidR="001B46BD" w:rsidRDefault="00575911" w:rsidP="00210D36">
      <w:pPr>
        <w:pStyle w:val="BodyTextIndent"/>
        <w:tabs>
          <w:tab w:val="left" w:pos="7920"/>
        </w:tabs>
        <w:spacing w:line="360" w:lineRule="auto"/>
        <w:ind w:left="0" w:firstLine="0"/>
        <w:jc w:val="both"/>
        <w:rPr>
          <w:b/>
          <w:caps/>
          <w:sz w:val="28"/>
          <w:u w:val="single"/>
        </w:rPr>
      </w:pPr>
      <w:r>
        <w:t>APPENDIX A …………………………………………………………….</w:t>
      </w:r>
      <w:r>
        <w:tab/>
        <w:t>22</w:t>
      </w: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003364" w:rsidRDefault="00003364">
      <w:pPr>
        <w:pStyle w:val="BodyTextIndent"/>
        <w:ind w:firstLine="0"/>
        <w:jc w:val="center"/>
        <w:rPr>
          <w:b/>
          <w:caps/>
          <w:sz w:val="28"/>
          <w:u w:val="single"/>
        </w:rPr>
      </w:pPr>
    </w:p>
    <w:p w:rsidR="00003364" w:rsidRDefault="00003364">
      <w:pPr>
        <w:pStyle w:val="BodyTextIndent"/>
        <w:ind w:firstLine="0"/>
        <w:jc w:val="center"/>
        <w:rPr>
          <w:b/>
          <w:caps/>
          <w:sz w:val="28"/>
          <w:u w:val="single"/>
        </w:rPr>
      </w:pPr>
    </w:p>
    <w:p w:rsidR="00003364" w:rsidRDefault="00003364">
      <w:pPr>
        <w:pStyle w:val="BodyTextIndent"/>
        <w:ind w:firstLine="0"/>
        <w:jc w:val="center"/>
        <w:rPr>
          <w:b/>
          <w:caps/>
          <w:sz w:val="28"/>
          <w:u w:val="single"/>
        </w:rPr>
      </w:pPr>
    </w:p>
    <w:p w:rsidR="00003364" w:rsidRDefault="00003364">
      <w:pPr>
        <w:pStyle w:val="BodyTextIndent"/>
        <w:ind w:firstLine="0"/>
        <w:jc w:val="center"/>
        <w:rPr>
          <w:b/>
          <w:caps/>
          <w:sz w:val="28"/>
          <w:u w:val="single"/>
        </w:rPr>
      </w:pPr>
    </w:p>
    <w:p w:rsidR="00003364" w:rsidRDefault="00003364">
      <w:pPr>
        <w:pStyle w:val="BodyTextIndent"/>
        <w:ind w:firstLine="0"/>
        <w:jc w:val="center"/>
        <w:rPr>
          <w:b/>
          <w:caps/>
          <w:sz w:val="28"/>
          <w:u w:val="single"/>
        </w:rPr>
      </w:pPr>
    </w:p>
    <w:p w:rsidR="00003364" w:rsidRDefault="00003364">
      <w:pPr>
        <w:pStyle w:val="BodyTextIndent"/>
        <w:ind w:firstLine="0"/>
        <w:jc w:val="center"/>
        <w:rPr>
          <w:b/>
          <w:caps/>
          <w:sz w:val="28"/>
          <w:u w:val="single"/>
        </w:rPr>
      </w:pPr>
    </w:p>
    <w:p w:rsidR="00003364" w:rsidRDefault="00003364">
      <w:pPr>
        <w:pStyle w:val="BodyTextIndent"/>
        <w:ind w:firstLine="0"/>
        <w:jc w:val="center"/>
        <w:rPr>
          <w:b/>
          <w:caps/>
          <w:sz w:val="28"/>
          <w:u w:val="single"/>
        </w:rPr>
      </w:pPr>
    </w:p>
    <w:p w:rsidR="00003364" w:rsidRDefault="00003364">
      <w:pPr>
        <w:pStyle w:val="BodyTextIndent"/>
        <w:ind w:firstLine="0"/>
        <w:jc w:val="center"/>
        <w:rPr>
          <w:b/>
          <w:caps/>
          <w:sz w:val="28"/>
          <w:u w:val="single"/>
        </w:rPr>
      </w:pPr>
    </w:p>
    <w:p w:rsidR="001B46BD" w:rsidRDefault="00575911">
      <w:pPr>
        <w:pStyle w:val="BodyTextIndent"/>
        <w:ind w:firstLine="0"/>
        <w:jc w:val="center"/>
        <w:rPr>
          <w:b/>
          <w:caps/>
          <w:sz w:val="28"/>
          <w:u w:val="single"/>
        </w:rPr>
      </w:pPr>
      <w:r>
        <w:rPr>
          <w:b/>
          <w:caps/>
          <w:sz w:val="28"/>
          <w:u w:val="single"/>
        </w:rPr>
        <w:t>List of Tables and figures</w:t>
      </w:r>
    </w:p>
    <w:p w:rsidR="001B46BD" w:rsidRDefault="001B46BD">
      <w:pPr>
        <w:pStyle w:val="BodyTextIndent"/>
        <w:ind w:firstLine="0"/>
        <w:jc w:val="center"/>
        <w:rPr>
          <w:b/>
          <w:caps/>
          <w:sz w:val="28"/>
          <w:u w:val="single"/>
        </w:rPr>
      </w:pPr>
    </w:p>
    <w:p w:rsidR="001B46BD" w:rsidRDefault="001B46BD">
      <w:pPr>
        <w:pStyle w:val="BodyTextIndent"/>
        <w:ind w:firstLine="0"/>
        <w:jc w:val="center"/>
        <w:rPr>
          <w:b/>
          <w:caps/>
          <w:sz w:val="28"/>
          <w:u w:val="single"/>
        </w:rPr>
      </w:pPr>
    </w:p>
    <w:p w:rsidR="001B46BD" w:rsidRDefault="00575911">
      <w:pPr>
        <w:pStyle w:val="BodyTextIndent"/>
        <w:ind w:firstLine="0"/>
        <w:jc w:val="center"/>
        <w:rPr>
          <w:b/>
          <w:caps/>
          <w:sz w:val="28"/>
          <w:u w:val="single"/>
        </w:rPr>
      </w:pPr>
      <w:r>
        <w:rPr>
          <w:b/>
          <w:caps/>
          <w:sz w:val="28"/>
          <w:u w:val="single"/>
        </w:rPr>
        <w:t>Tables</w:t>
      </w:r>
    </w:p>
    <w:p w:rsidR="001B46BD" w:rsidRDefault="001B46BD">
      <w:pPr>
        <w:pStyle w:val="BodyTextIndent"/>
        <w:ind w:firstLine="0"/>
        <w:jc w:val="center"/>
        <w:rPr>
          <w:b/>
          <w:caps/>
          <w:sz w:val="28"/>
          <w:u w:val="single"/>
        </w:rPr>
      </w:pPr>
    </w:p>
    <w:p w:rsidR="001B46BD" w:rsidRDefault="001B46BD">
      <w:pPr>
        <w:pStyle w:val="BodyTextIndent"/>
        <w:ind w:firstLine="0"/>
        <w:jc w:val="center"/>
        <w:rPr>
          <w:b/>
        </w:rPr>
      </w:pPr>
    </w:p>
    <w:p w:rsidR="001B46BD" w:rsidRDefault="00575911">
      <w:pPr>
        <w:pStyle w:val="BodyText"/>
        <w:ind w:left="-720"/>
      </w:pPr>
      <w:proofErr w:type="gramStart"/>
      <w:r>
        <w:t>Table 1.</w:t>
      </w:r>
      <w:proofErr w:type="gramEnd"/>
      <w:r>
        <w:t xml:space="preserve">  Summary of the date, collection location, sample size (N), mean, standard deviation (SD) and range of the fork length (cm), sex, origin, release location and time of release of the radio-tagged steelhead kelts in 2000.  Of these transported and released kelts, the number contacted at Bonneville (PH II, spillway, PH I), the number of full path kelts (forebay, juvenile bypass system, tailrace, and/or exit), and the passage distribution. </w:t>
      </w:r>
    </w:p>
    <w:p w:rsidR="001B46BD" w:rsidRDefault="001B46BD">
      <w:pPr>
        <w:pStyle w:val="BodyText"/>
        <w:ind w:left="-720"/>
      </w:pPr>
    </w:p>
    <w:p w:rsidR="001B46BD" w:rsidRDefault="00575911">
      <w:pPr>
        <w:pStyle w:val="BodyTextIndent"/>
        <w:ind w:firstLine="0"/>
      </w:pPr>
      <w:proofErr w:type="gramStart"/>
      <w:r>
        <w:t>Table 2.</w:t>
      </w:r>
      <w:proofErr w:type="gramEnd"/>
      <w:r>
        <w:t xml:space="preserve">  Summary of the transport and releases of radio-tagged kelts, that occurred between </w:t>
      </w:r>
      <w:r>
        <w:rPr>
          <w:snapToGrid w:val="0"/>
        </w:rPr>
        <w:t xml:space="preserve">30 March and </w:t>
      </w:r>
      <w:r>
        <w:t xml:space="preserve">23 May.  The number contacted at Bonneville (PH II, spillway, PH I), the number of full path kelts (forebay, tailrace, and/or exit station), and the passage distribution. </w:t>
      </w:r>
    </w:p>
    <w:p w:rsidR="001B46BD" w:rsidRDefault="001B46BD">
      <w:pPr>
        <w:pStyle w:val="BodyText"/>
        <w:ind w:left="-720"/>
      </w:pPr>
    </w:p>
    <w:p w:rsidR="001B46BD" w:rsidRDefault="00575911">
      <w:pPr>
        <w:ind w:left="-720"/>
      </w:pPr>
      <w:proofErr w:type="gramStart"/>
      <w:r>
        <w:t>Table 3.</w:t>
      </w:r>
      <w:proofErr w:type="gramEnd"/>
      <w:r>
        <w:t xml:space="preserve">  Fate and residence times of the 38 tagged kelts that interacted with the Prototype Surface Collector (PSC).  Fish had to be within 6 m of the PSC to be detected by the radio receiver antennas mounted on the PSC.  Note: Q1 = 25</w:t>
      </w:r>
      <w:r>
        <w:rPr>
          <w:vertAlign w:val="superscript"/>
        </w:rPr>
        <w:t>th</w:t>
      </w:r>
      <w:r>
        <w:t>, median forebay, and Q3 =75</w:t>
      </w:r>
      <w:r>
        <w:rPr>
          <w:vertAlign w:val="superscript"/>
        </w:rPr>
        <w:t>th</w:t>
      </w:r>
      <w:r>
        <w:t xml:space="preserve"> percentile.</w:t>
      </w:r>
    </w:p>
    <w:p w:rsidR="001B46BD" w:rsidRDefault="001B46BD">
      <w:pPr>
        <w:pStyle w:val="BodyText"/>
        <w:ind w:left="-720"/>
      </w:pPr>
    </w:p>
    <w:p w:rsidR="001B46BD" w:rsidRDefault="00575911">
      <w:pPr>
        <w:pStyle w:val="BodyText"/>
        <w:ind w:left="-720"/>
        <w:rPr>
          <w:i/>
        </w:rPr>
      </w:pPr>
      <w:proofErr w:type="gramStart"/>
      <w:r>
        <w:t>Table 4.</w:t>
      </w:r>
      <w:proofErr w:type="gramEnd"/>
      <w:r>
        <w:t xml:space="preserve">  Overall Bonneville passage times, full forebay (first and last contact in a Bonneville forebay) and final forebay (first and last contact of passage forebay) and tailrace times, by passage routes, in quartiles (hh:mm)</w:t>
      </w:r>
      <w:proofErr w:type="gramStart"/>
      <w:r>
        <w:t xml:space="preserve">. </w:t>
      </w:r>
      <w:proofErr w:type="gramEnd"/>
      <w:r>
        <w:t>Note: Q1 = 25</w:t>
      </w:r>
      <w:r>
        <w:rPr>
          <w:vertAlign w:val="superscript"/>
        </w:rPr>
        <w:t>th</w:t>
      </w:r>
      <w:r>
        <w:t>, and Q3 =75</w:t>
      </w:r>
      <w:r>
        <w:rPr>
          <w:vertAlign w:val="superscript"/>
        </w:rPr>
        <w:t>th</w:t>
      </w:r>
      <w:r>
        <w:t xml:space="preserve"> percentile.  </w:t>
      </w:r>
    </w:p>
    <w:p w:rsidR="001B46BD" w:rsidRDefault="001B46BD">
      <w:pPr>
        <w:ind w:left="-720" w:right="720"/>
        <w:rPr>
          <w:sz w:val="22"/>
        </w:rPr>
      </w:pPr>
    </w:p>
    <w:p w:rsidR="001B46BD" w:rsidRDefault="001B46BD">
      <w:pPr>
        <w:pStyle w:val="BodyText"/>
        <w:ind w:left="-720"/>
        <w:rPr>
          <w:b/>
        </w:rPr>
      </w:pPr>
    </w:p>
    <w:p w:rsidR="001B46BD" w:rsidRDefault="001B46BD">
      <w:pPr>
        <w:pStyle w:val="BodyText"/>
        <w:ind w:left="-720"/>
      </w:pPr>
    </w:p>
    <w:p w:rsidR="001B46BD" w:rsidRDefault="001B46BD">
      <w:pPr>
        <w:pStyle w:val="BodyText"/>
        <w:ind w:left="-720"/>
        <w:jc w:val="center"/>
      </w:pPr>
    </w:p>
    <w:p w:rsidR="001B46BD" w:rsidRDefault="00575911">
      <w:pPr>
        <w:pStyle w:val="BodyText"/>
        <w:ind w:left="-720"/>
        <w:jc w:val="center"/>
        <w:rPr>
          <w:b/>
          <w:caps/>
          <w:sz w:val="28"/>
          <w:u w:val="single"/>
        </w:rPr>
      </w:pPr>
      <w:r>
        <w:rPr>
          <w:b/>
          <w:caps/>
          <w:sz w:val="28"/>
          <w:u w:val="single"/>
        </w:rPr>
        <w:t>figures</w:t>
      </w:r>
    </w:p>
    <w:p w:rsidR="001B46BD" w:rsidRDefault="001B46BD">
      <w:pPr>
        <w:pStyle w:val="BodyText"/>
        <w:ind w:left="-720"/>
        <w:jc w:val="center"/>
        <w:rPr>
          <w:b/>
          <w:caps/>
          <w:sz w:val="28"/>
          <w:u w:val="single"/>
        </w:rPr>
      </w:pPr>
    </w:p>
    <w:p w:rsidR="001B46BD" w:rsidRDefault="001B46BD">
      <w:pPr>
        <w:pStyle w:val="BodyText"/>
        <w:ind w:left="-720"/>
      </w:pPr>
    </w:p>
    <w:p w:rsidR="001B46BD" w:rsidRDefault="00575911">
      <w:pPr>
        <w:pStyle w:val="BodyText"/>
        <w:ind w:left="-720"/>
      </w:pPr>
      <w:r>
        <w:t>Figure 1</w:t>
      </w:r>
      <w:proofErr w:type="gramStart"/>
      <w:r>
        <w:t xml:space="preserve">. </w:t>
      </w:r>
      <w:proofErr w:type="gramEnd"/>
      <w:r>
        <w:t xml:space="preserve">Map of Bonneville Dam indicating all forebay and tailrace areas for the various routes of passage. </w:t>
      </w:r>
    </w:p>
    <w:p w:rsidR="001B46BD" w:rsidRDefault="001B46BD">
      <w:pPr>
        <w:pStyle w:val="BodyText"/>
        <w:ind w:left="-720"/>
      </w:pPr>
    </w:p>
    <w:p w:rsidR="001B46BD" w:rsidRDefault="00575911">
      <w:pPr>
        <w:pStyle w:val="BodyText"/>
        <w:ind w:left="-720"/>
      </w:pPr>
      <w:proofErr w:type="gramStart"/>
      <w:r>
        <w:t>Figure 2.</w:t>
      </w:r>
      <w:proofErr w:type="gramEnd"/>
      <w:r>
        <w:t xml:space="preserve">  Radio-tagged steelhead </w:t>
      </w:r>
      <w:proofErr w:type="gramStart"/>
      <w:r>
        <w:t>kelt</w:t>
      </w:r>
      <w:proofErr w:type="gramEnd"/>
      <w:r>
        <w:t xml:space="preserve">.  </w:t>
      </w:r>
    </w:p>
    <w:p w:rsidR="001B46BD" w:rsidRDefault="001B46BD">
      <w:pPr>
        <w:pStyle w:val="BodyText"/>
        <w:ind w:left="-720"/>
      </w:pPr>
    </w:p>
    <w:p w:rsidR="001B46BD" w:rsidRDefault="00575911">
      <w:pPr>
        <w:pStyle w:val="BodyText"/>
        <w:ind w:left="-720"/>
      </w:pPr>
      <w:proofErr w:type="gramStart"/>
      <w:r>
        <w:t>Figure 3.</w:t>
      </w:r>
      <w:proofErr w:type="gramEnd"/>
      <w:r>
        <w:t xml:space="preserve">  Percentage of weekly flows at Bonneville Dam through PH I, PH II, and the spillway from April through May 2000.</w:t>
      </w:r>
    </w:p>
    <w:p w:rsidR="001B46BD" w:rsidRDefault="001B46BD">
      <w:pPr>
        <w:ind w:left="-720"/>
      </w:pPr>
    </w:p>
    <w:p w:rsidR="001B46BD" w:rsidRDefault="00575911">
      <w:pPr>
        <w:pStyle w:val="Header"/>
        <w:tabs>
          <w:tab w:val="clear" w:pos="4320"/>
          <w:tab w:val="clear" w:pos="8640"/>
        </w:tabs>
        <w:ind w:left="-720"/>
        <w:rPr>
          <w:snapToGrid w:val="0"/>
        </w:rPr>
      </w:pPr>
      <w:proofErr w:type="gramStart"/>
      <w:r>
        <w:rPr>
          <w:snapToGrid w:val="0"/>
        </w:rPr>
        <w:t>Figure 4.</w:t>
      </w:r>
      <w:proofErr w:type="gramEnd"/>
      <w:r>
        <w:rPr>
          <w:snapToGrid w:val="0"/>
        </w:rPr>
        <w:t xml:space="preserve">  Cumulative number of radio receiver antennas contacted (CNOAC) by steelhead kelts in the three forebays at Bonneville Dam, spring 2000.</w:t>
      </w:r>
    </w:p>
    <w:p w:rsidR="001B46BD" w:rsidRDefault="001B46BD">
      <w:pPr>
        <w:pStyle w:val="Header"/>
        <w:tabs>
          <w:tab w:val="clear" w:pos="4320"/>
          <w:tab w:val="clear" w:pos="8640"/>
        </w:tabs>
        <w:ind w:left="-720"/>
        <w:rPr>
          <w:snapToGrid w:val="0"/>
        </w:rPr>
      </w:pPr>
    </w:p>
    <w:p w:rsidR="001B46BD" w:rsidRDefault="001B46BD">
      <w:pPr>
        <w:pStyle w:val="Header"/>
        <w:tabs>
          <w:tab w:val="clear" w:pos="4320"/>
          <w:tab w:val="clear" w:pos="8640"/>
        </w:tabs>
        <w:ind w:left="-720"/>
        <w:rPr>
          <w:vanish/>
        </w:rPr>
      </w:pPr>
    </w:p>
    <w:p w:rsidR="001B46BD" w:rsidRDefault="001B46BD">
      <w:pPr>
        <w:pStyle w:val="BodyTextIndent"/>
        <w:ind w:firstLine="0"/>
      </w:pPr>
    </w:p>
    <w:p w:rsidR="001B46BD" w:rsidRDefault="001B46BD">
      <w:pPr>
        <w:pStyle w:val="BodyTextIndent"/>
        <w:ind w:firstLine="0"/>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rPr>
      </w:pPr>
    </w:p>
    <w:p w:rsidR="001B46BD" w:rsidRDefault="001B46BD">
      <w:pPr>
        <w:pStyle w:val="BodyTextIndent"/>
        <w:spacing w:line="360" w:lineRule="auto"/>
        <w:ind w:firstLine="0"/>
        <w:jc w:val="center"/>
        <w:rPr>
          <w:b/>
          <w:caps/>
          <w:sz w:val="28"/>
          <w:u w:val="single"/>
        </w:rPr>
        <w:sectPr w:rsidR="001B46BD">
          <w:footerReference w:type="default" r:id="rId11"/>
          <w:footerReference w:type="first" r:id="rId12"/>
          <w:type w:val="nextColumn"/>
          <w:pgSz w:w="12240" w:h="15840" w:code="1"/>
          <w:pgMar w:top="1440" w:right="1800" w:bottom="1440" w:left="1800" w:header="720" w:footer="720" w:gutter="0"/>
          <w:pgNumType w:fmt="lowerRoman" w:start="1"/>
          <w:cols w:space="720"/>
          <w:titlePg/>
          <w:docGrid w:linePitch="360"/>
        </w:sectPr>
      </w:pPr>
    </w:p>
    <w:p w:rsidR="001B46BD" w:rsidRDefault="00575911">
      <w:pPr>
        <w:pStyle w:val="BodyTextIndent"/>
        <w:spacing w:line="360" w:lineRule="auto"/>
        <w:ind w:firstLine="0"/>
        <w:jc w:val="center"/>
        <w:rPr>
          <w:b/>
          <w:caps/>
          <w:sz w:val="28"/>
          <w:u w:val="single"/>
        </w:rPr>
      </w:pPr>
      <w:r>
        <w:rPr>
          <w:b/>
          <w:caps/>
          <w:sz w:val="28"/>
          <w:u w:val="single"/>
        </w:rPr>
        <w:lastRenderedPageBreak/>
        <w:t>Introduction</w:t>
      </w:r>
    </w:p>
    <w:p w:rsidR="001B46BD" w:rsidRDefault="001B46BD">
      <w:pPr>
        <w:pStyle w:val="BodyTextIndent"/>
        <w:spacing w:line="360" w:lineRule="auto"/>
        <w:ind w:firstLine="0"/>
        <w:jc w:val="center"/>
        <w:rPr>
          <w:b/>
        </w:rPr>
      </w:pPr>
    </w:p>
    <w:p w:rsidR="001B46BD" w:rsidRDefault="00575911">
      <w:pPr>
        <w:pStyle w:val="BodyText"/>
        <w:spacing w:line="360" w:lineRule="auto"/>
        <w:ind w:left="-720" w:firstLine="720"/>
        <w:rPr>
          <w:smallCaps/>
        </w:rPr>
      </w:pPr>
      <w:r>
        <w:t>The decline of steelhead (</w:t>
      </w:r>
      <w:r>
        <w:rPr>
          <w:i/>
        </w:rPr>
        <w:t>Oncorhynchus mykiss)</w:t>
      </w:r>
      <w:r>
        <w:t xml:space="preserve"> populations from historical levels in the Columbia Basin have led to listings of threatened and endangered for Snake, lower’ and mid’ Columbia rivers, and upper’ Columbia River stocks respectively, under the U.S. Endangered Species Act (NMFS 1998).  Cited explanations for these declines are largely derived from human impacts such as exploitation rates, resource extraction, roads, and the system wide changes that are resultant</w:t>
      </w:r>
      <w:r>
        <w:rPr>
          <w:smallCaps/>
        </w:rPr>
        <w:t xml:space="preserve"> </w:t>
      </w:r>
      <w:r>
        <w:t xml:space="preserve">from impoundment (NWPPC 1986, ISG 1996).  Agencies within the Columbia basin are beginning to evaluate the steelhead’s iteroparous life history with the goal of developing strategies to aid listed steelhead populations.  When developed, these strategies will probably relate combinations of </w:t>
      </w:r>
      <w:proofErr w:type="gramStart"/>
      <w:r>
        <w:t>kelt</w:t>
      </w:r>
      <w:proofErr w:type="gramEnd"/>
      <w:r>
        <w:t xml:space="preserve"> reconditioning, transport, and improved in-river passage to the specific life history attributes and obstacles faced by the differing evolutionarily significant units (NMFS 2000).</w:t>
      </w:r>
      <w:r>
        <w:rPr>
          <w:smallCaps/>
        </w:rPr>
        <w:t xml:space="preserve">  </w:t>
      </w:r>
    </w:p>
    <w:p w:rsidR="001B46BD" w:rsidRDefault="001B46BD">
      <w:pPr>
        <w:pStyle w:val="BodyTextIndent"/>
        <w:spacing w:line="360" w:lineRule="auto"/>
        <w:rPr>
          <w:smallCaps/>
          <w:color w:val="FF0000"/>
        </w:rPr>
      </w:pPr>
    </w:p>
    <w:p w:rsidR="001B46BD" w:rsidRDefault="00575911">
      <w:pPr>
        <w:pStyle w:val="BodyTextIndent"/>
        <w:spacing w:line="360" w:lineRule="auto"/>
      </w:pPr>
      <w:r>
        <w:t>To assess current passage conditions in the lower Columbia River,</w:t>
      </w:r>
      <w:r>
        <w:rPr>
          <w:smallCaps/>
        </w:rPr>
        <w:t xml:space="preserve"> </w:t>
      </w:r>
      <w:r>
        <w:t xml:space="preserve">the U.S. Army Corps of Engineers (COE) Fisheries Field Unit (FFU) initiated a program in 1999 to develop knowledge of the downstream passage behavior of post-spawn steelhead at Bonneville Dam (BON).  Bonneville Dam was selected for evaluation due to its location, as the first hydroelectric facility on the mainstem Columbia River, thereby, affecting potentially thousands of kelts.  Additionally, Bonneville Dam passes steelhead populations with diverse life histories including both ocean (i.e., winter steelhead) and stream maturing (summer) varieties (Withler 1966).  </w:t>
      </w:r>
    </w:p>
    <w:p w:rsidR="001B46BD" w:rsidRDefault="001B46BD">
      <w:pPr>
        <w:pStyle w:val="BodyTextIndent"/>
        <w:spacing w:line="360" w:lineRule="auto"/>
        <w:ind w:firstLine="0"/>
      </w:pPr>
    </w:p>
    <w:p w:rsidR="001B46BD" w:rsidRDefault="00575911">
      <w:pPr>
        <w:pStyle w:val="BodyTextIndent"/>
        <w:spacing w:line="360" w:lineRule="auto"/>
        <w:rPr>
          <w:b/>
        </w:rPr>
      </w:pPr>
      <w:r>
        <w:t xml:space="preserve">In this report, data are presented on the passage routes, passage proportions, forebay residence times, and passage times of radio-tagged kelts migrating through Bonneville Dam.  To acquire the sample of fish for this study, efforts were focused on obtaining actively migrating kelts, from the Snake River, where thousands of post-spawn steelhead were outmigrating through Lower Granite and Little Goose dams.  The endangered status of upper Columbia River steelhead stocks precluded our sampling of kelts from McNary and John Day dams in 2000.  </w:t>
      </w:r>
    </w:p>
    <w:p w:rsidR="001B46BD" w:rsidRDefault="001B46BD">
      <w:pPr>
        <w:pStyle w:val="BodyTextIndent"/>
        <w:tabs>
          <w:tab w:val="left" w:pos="3369"/>
          <w:tab w:val="center" w:pos="3960"/>
        </w:tabs>
        <w:spacing w:line="360" w:lineRule="auto"/>
        <w:ind w:firstLine="0"/>
        <w:jc w:val="center"/>
        <w:rPr>
          <w:b/>
          <w:caps/>
          <w:sz w:val="28"/>
          <w:u w:val="single"/>
        </w:rPr>
      </w:pPr>
    </w:p>
    <w:p w:rsidR="001B46BD" w:rsidRDefault="001B46BD">
      <w:pPr>
        <w:pStyle w:val="BodyTextIndent"/>
        <w:tabs>
          <w:tab w:val="left" w:pos="3369"/>
          <w:tab w:val="center" w:pos="3960"/>
        </w:tabs>
        <w:spacing w:line="360" w:lineRule="auto"/>
        <w:ind w:firstLine="0"/>
        <w:jc w:val="center"/>
        <w:rPr>
          <w:b/>
          <w:caps/>
          <w:sz w:val="28"/>
          <w:u w:val="single"/>
        </w:rPr>
      </w:pPr>
    </w:p>
    <w:p w:rsidR="001B46BD" w:rsidRDefault="001B46BD">
      <w:pPr>
        <w:pStyle w:val="BodyTextIndent"/>
        <w:tabs>
          <w:tab w:val="left" w:pos="3369"/>
          <w:tab w:val="center" w:pos="3960"/>
        </w:tabs>
        <w:spacing w:line="360" w:lineRule="auto"/>
        <w:ind w:firstLine="0"/>
        <w:jc w:val="center"/>
        <w:rPr>
          <w:b/>
          <w:caps/>
          <w:sz w:val="28"/>
          <w:u w:val="single"/>
        </w:rPr>
      </w:pPr>
    </w:p>
    <w:p w:rsidR="001B46BD" w:rsidRDefault="00575911">
      <w:pPr>
        <w:pStyle w:val="BodyTextIndent"/>
        <w:tabs>
          <w:tab w:val="left" w:pos="3369"/>
          <w:tab w:val="center" w:pos="3960"/>
        </w:tabs>
        <w:spacing w:line="360" w:lineRule="auto"/>
        <w:ind w:firstLine="0"/>
        <w:jc w:val="center"/>
        <w:rPr>
          <w:b/>
          <w:caps/>
          <w:sz w:val="28"/>
          <w:u w:val="single"/>
        </w:rPr>
      </w:pPr>
      <w:r>
        <w:rPr>
          <w:b/>
          <w:caps/>
          <w:sz w:val="28"/>
          <w:u w:val="single"/>
        </w:rPr>
        <w:lastRenderedPageBreak/>
        <w:t>Methods</w:t>
      </w:r>
    </w:p>
    <w:p w:rsidR="001B46BD" w:rsidRDefault="001B46BD">
      <w:pPr>
        <w:pStyle w:val="BodyTextIndent"/>
        <w:tabs>
          <w:tab w:val="left" w:pos="3369"/>
          <w:tab w:val="center" w:pos="3960"/>
        </w:tabs>
        <w:spacing w:line="360" w:lineRule="auto"/>
        <w:ind w:firstLine="0"/>
        <w:jc w:val="center"/>
        <w:rPr>
          <w:b/>
          <w:caps/>
          <w:sz w:val="28"/>
          <w:u w:val="single"/>
        </w:rPr>
      </w:pPr>
    </w:p>
    <w:p w:rsidR="001B46BD" w:rsidRDefault="00575911">
      <w:pPr>
        <w:pStyle w:val="BodyTextIndent"/>
        <w:spacing w:line="360" w:lineRule="auto"/>
        <w:ind w:firstLine="0"/>
        <w:rPr>
          <w:b/>
        </w:rPr>
      </w:pPr>
      <w:r>
        <w:rPr>
          <w:b/>
        </w:rPr>
        <w:t>Study Site</w:t>
      </w:r>
    </w:p>
    <w:p w:rsidR="001B46BD" w:rsidRDefault="00575911">
      <w:pPr>
        <w:pStyle w:val="BodyTextIndent"/>
        <w:spacing w:line="360" w:lineRule="auto"/>
      </w:pPr>
      <w:r>
        <w:t>Bonneville Dam is the first mainstem Columbia River hydroelectric project and is located at river km 235.1.  Bonneville Dam was constructed in 1938 and is unique among hydroelectric projects in the Columbia Basin as it consists of two separate powerhouses and a spillway separated by two large islands.  Powerhouse I (PH I) borders Oregon on the south shore and Bradford Island on the north, and contains ten turbine units.  The spillway has 18 spill gates, which are raised vertically to release water from the channel bottom, and lies between Bradford and Cascades islands.  Powerhouse II (PH II) contains eight turbine units, and is separated from the spillway on the south side by Cascades Island and borders the Washington shore on the north.  The dam structures and the islands combine to give Bonneville Dam three separate forebay and tailrace areas (Figure 1).</w:t>
      </w:r>
    </w:p>
    <w:p w:rsidR="001B46BD" w:rsidRDefault="001B46BD">
      <w:pPr>
        <w:pStyle w:val="BodyTextIndent"/>
        <w:spacing w:line="360" w:lineRule="auto"/>
        <w:ind w:firstLine="0"/>
        <w:jc w:val="both"/>
        <w:rPr>
          <w:b/>
        </w:rPr>
      </w:pPr>
    </w:p>
    <w:p w:rsidR="001B46BD" w:rsidRDefault="00575911">
      <w:pPr>
        <w:pStyle w:val="BodyTextIndent"/>
        <w:spacing w:line="360" w:lineRule="auto"/>
        <w:ind w:firstLine="0"/>
        <w:jc w:val="both"/>
        <w:rPr>
          <w:b/>
        </w:rPr>
      </w:pPr>
      <w:r>
        <w:rPr>
          <w:b/>
        </w:rPr>
        <w:t xml:space="preserve">Fixed Receiving System Telemetry-Equipment and Transmitters </w:t>
      </w:r>
    </w:p>
    <w:p w:rsidR="001B46BD" w:rsidRDefault="00575911">
      <w:pPr>
        <w:pStyle w:val="BodyTextIndent"/>
        <w:spacing w:line="360" w:lineRule="auto"/>
      </w:pPr>
      <w:r>
        <w:t>Transmissions from radio-tagged kelts were monitored by</w:t>
      </w:r>
      <w:r>
        <w:rPr>
          <w:smallCaps/>
        </w:rPr>
        <w:t xml:space="preserve"> </w:t>
      </w:r>
      <w:r>
        <w:t xml:space="preserve">antenna/receiver ‘fixed station’ arrays located in and around Bonneville Dam.  Radio-tags for this study transmitted at radio frequency 150.600 MHz, one of a dozen or more frequencies each receiver was set to monitor.  Fixed stations were installed and maintained by University of Idaho (UI) and U.S. Geological Survey (USGS) researchers (USGS fixed arrays stations described by Evans (et al. 2000)).  Both aerial and underwater receiving arrays at the fixed stations were made available to us (Appendix A).  However, prior to 28 April, only aerial antenna arrays were available.  Operation of the prototype surface collector at PH I corresponded with periods of underwater telemetry coverage.  Underwater dipole and stripped co-ax antennas had a limited range (about 6 m) compared to aerial antennas (100 to 300 m depending on transmitter depth, receiver gain, and number of elements).  When positioned directly below aerial antenna arrays, tagged kelts were detectable to 8 m in water depth (Kelly and Adams 1996).  </w:t>
      </w:r>
      <w:r>
        <w:rPr>
          <w:smallCaps/>
        </w:rPr>
        <w:t>U</w:t>
      </w:r>
      <w:r>
        <w:t xml:space="preserve">nderwater antennas were specifically used to detect tagged fish in and around the prototype surface collector (PSC), submerged traveling screens (STS), extended submersible bar screens (ESBS), ice and trash sluiceways (ITS), and juvenile bypass systems (JBS). </w:t>
      </w:r>
    </w:p>
    <w:p w:rsidR="001B46BD" w:rsidRDefault="001B46BD">
      <w:pPr>
        <w:pStyle w:val="BodyTextIndent"/>
        <w:spacing w:line="360" w:lineRule="auto"/>
      </w:pPr>
    </w:p>
    <w:p w:rsidR="001B46BD" w:rsidRDefault="00575911">
      <w:pPr>
        <w:pStyle w:val="BodyTextIndent"/>
        <w:spacing w:line="360" w:lineRule="auto"/>
      </w:pPr>
      <w:r>
        <w:lastRenderedPageBreak/>
        <w:t>The underwater antennas were monitored with</w:t>
      </w:r>
      <w:r>
        <w:rPr>
          <w:smallCaps/>
        </w:rPr>
        <w:t xml:space="preserve"> </w:t>
      </w:r>
      <w:r>
        <w:t>Digital Spectrum Processors (DSP) or the Multi-Integrated-Telemetry-Array-System (MITAS).  These systems</w:t>
      </w:r>
      <w:r>
        <w:rPr>
          <w:smallCaps/>
        </w:rPr>
        <w:t xml:space="preserve"> </w:t>
      </w:r>
      <w:r>
        <w:t>automatically identified</w:t>
      </w:r>
      <w:r>
        <w:rPr>
          <w:smallCaps/>
        </w:rPr>
        <w:t xml:space="preserve"> </w:t>
      </w:r>
      <w:r>
        <w:t>the specific antenna and location where a radio-transmission was received.  Aerial fixed receiving arrays consisted of up to eight antennas connected to a Lotek</w:t>
      </w:r>
      <w:r>
        <w:rPr>
          <w:rStyle w:val="FootnoteReference"/>
        </w:rPr>
        <w:footnoteReference w:customMarkFollows="1" w:id="3"/>
        <w:t>3</w:t>
      </w:r>
      <w:r>
        <w:rPr>
          <w:vertAlign w:val="superscript"/>
        </w:rPr>
        <w:t xml:space="preserve"> </w:t>
      </w:r>
      <w:r>
        <w:t xml:space="preserve">SRX 400 receiver.  In contrast to the DSP or MITAS arrays, SRX 400 receivers combined signals from all attached antennas and recorded transmissions as a ‘master’ antenna contact.  The receiver cycled through each antenna separately to determine the specific antenna where a radio-tag’s transmission was located.  If several radio-tagged fish were present, it took approximately two minutes for the receivers to listen to the antennas combined, listen to each antenna separately, and log transmissions for each frequency.  This procedure was then repeated through all frequencies before completing a scan cycle (Evans et al. 2000).  For this reason, criteria were developed to determine what constituted a valid </w:t>
      </w:r>
      <w:proofErr w:type="gramStart"/>
      <w:r>
        <w:t>kelt</w:t>
      </w:r>
      <w:proofErr w:type="gramEnd"/>
      <w:r>
        <w:t xml:space="preserve"> contact at a fixed station.  In general, a contact was considered valid when two or more transmissions from a unique radio-tag were recorded at a fixed station in less than three minutes.  The three-minute rule was adopted for two reasons.  First, receivers occasionally picked up weak transmissions from tagged kelts outside the immediate area of the receiver’s antennas.  Second, when several radio-tagged kelts were transmitting near a receiver bank, receivers could potentially mix the radio transmissions of two or more tags and incorrectly record this signal as a different radio-tag.</w:t>
      </w:r>
    </w:p>
    <w:p w:rsidR="001B46BD" w:rsidRDefault="001B46BD">
      <w:pPr>
        <w:pStyle w:val="BodyTextIndent"/>
        <w:spacing w:line="360" w:lineRule="auto"/>
      </w:pPr>
    </w:p>
    <w:p w:rsidR="001B46BD" w:rsidRDefault="00575911">
      <w:pPr>
        <w:pStyle w:val="BodyTextIndent"/>
        <w:spacing w:line="360" w:lineRule="auto"/>
        <w:rPr>
          <w:bCs/>
          <w:vertAlign w:val="superscript"/>
        </w:rPr>
      </w:pPr>
      <w:r>
        <w:t xml:space="preserve">The presence of a tagged </w:t>
      </w:r>
      <w:proofErr w:type="gramStart"/>
      <w:r>
        <w:t>kelt</w:t>
      </w:r>
      <w:proofErr w:type="gramEnd"/>
      <w:r>
        <w:t xml:space="preserve"> in the area of a fixed station was established using the three-minute rule.  If the three-minute rule failed to filter out the false presence of a radio-tagged kelt in an area due to weak or mixed radio signals, contacts were negated through proofing verification.  In addition, because fixed sites outside of the area where kelts were transmitting occasionally detected tags for brief periods, these contacts were also negated.  Single contacts (more than three minutes apart) were included only if the record of a kelts plausible passage history was supported by valid hits before and after the single contact. </w:t>
      </w:r>
    </w:p>
    <w:p w:rsidR="001B46BD" w:rsidRDefault="001B46BD">
      <w:pPr>
        <w:pStyle w:val="BodyTextIndent"/>
        <w:spacing w:line="360" w:lineRule="auto"/>
        <w:ind w:firstLine="0"/>
        <w:rPr>
          <w:b/>
        </w:rPr>
      </w:pPr>
    </w:p>
    <w:p w:rsidR="001B46BD" w:rsidRDefault="00575911">
      <w:pPr>
        <w:pStyle w:val="BodyTextIndent"/>
        <w:spacing w:line="360" w:lineRule="auto"/>
        <w:ind w:firstLine="0"/>
        <w:rPr>
          <w:b/>
        </w:rPr>
      </w:pPr>
      <w:r>
        <w:rPr>
          <w:b/>
        </w:rPr>
        <w:t>Data Management and Analysis</w:t>
      </w:r>
    </w:p>
    <w:p w:rsidR="001B46BD" w:rsidRDefault="00575911">
      <w:pPr>
        <w:pStyle w:val="BodyTextIndent"/>
        <w:spacing w:line="360" w:lineRule="auto"/>
      </w:pPr>
      <w:r>
        <w:t>Downloaded data from fixed receiver arrays maintained by the USGS were transferred from the USGS</w:t>
      </w:r>
      <w:r>
        <w:rPr>
          <w:smallCaps/>
        </w:rPr>
        <w:t xml:space="preserve"> </w:t>
      </w:r>
      <w:r>
        <w:t xml:space="preserve">directly to us.  The protocol for obtaining the telemetry data from fixed-arrays </w:t>
      </w:r>
      <w:r>
        <w:lastRenderedPageBreak/>
        <w:t xml:space="preserve">maintained by the UI was as follows:  Following each of the </w:t>
      </w:r>
      <w:proofErr w:type="gramStart"/>
      <w:r>
        <w:t>kelt</w:t>
      </w:r>
      <w:proofErr w:type="gramEnd"/>
      <w:r>
        <w:t xml:space="preserve"> releases, data containing release location, date, time, frequency, and unique codes of kelts were sent to the National Marine Fisheries Service North West Fisheries Science Center (NWFSC).  After downloading, UI fixed telemetry array data were forwarded by UI personnel to the NWFSC for formatting and coding.  Contact locations with our specific frequencies and codes were then sent to us from the NWFSC.     </w:t>
      </w:r>
    </w:p>
    <w:p w:rsidR="001B46BD" w:rsidRDefault="00575911">
      <w:pPr>
        <w:pStyle w:val="BodyTextIndent"/>
        <w:spacing w:line="360" w:lineRule="auto"/>
        <w:ind w:firstLine="0"/>
        <w:rPr>
          <w:b/>
        </w:rPr>
      </w:pPr>
      <w:r>
        <w:t xml:space="preserve">       </w:t>
      </w:r>
    </w:p>
    <w:p w:rsidR="001B46BD" w:rsidRDefault="00575911">
      <w:pPr>
        <w:pStyle w:val="BodyTextIndent"/>
        <w:spacing w:line="360" w:lineRule="auto"/>
      </w:pPr>
      <w:r>
        <w:t xml:space="preserve">To describe the time it took for kelts to pass Bonneville Dam, passage times were calculated.  Passage times (hh:mm) are defined as the time it took from initial contact in forebay areas to the time at which kelts were contacted at the exit station.  Full and final forebay residence times (hh:mm) were calculated for each radio-tagged </w:t>
      </w:r>
      <w:proofErr w:type="gramStart"/>
      <w:r>
        <w:t>kelt</w:t>
      </w:r>
      <w:proofErr w:type="gramEnd"/>
      <w:r>
        <w:t xml:space="preserve"> contacted in the near-dam area.  Full forebay residence times are between the first and last contacts in forebay areas.  Final forebay residence times are the amount of time between the first and last contacts in a kelts passage forebay.  Forebay residence times were a conservative estimate of the actual time that tagged-kelts spent in the near-dam area.  These estimates are conservative due to receiver limitations.  For instance, kelts may have been in the near-dam area prior to their first radio-contact, and following their last contact.  Ancillary to forebay residence and overall passage times, tailrace residence times were calculated, identifying the time it took kelts to pass from first tailrace contact to the exit station.</w:t>
      </w:r>
    </w:p>
    <w:p w:rsidR="001B46BD" w:rsidRDefault="001B46BD">
      <w:pPr>
        <w:pStyle w:val="BodyTextIndent"/>
        <w:spacing w:line="360" w:lineRule="auto"/>
        <w:ind w:firstLine="0"/>
      </w:pPr>
    </w:p>
    <w:p w:rsidR="001B46BD" w:rsidRDefault="00575911">
      <w:pPr>
        <w:autoSpaceDE w:val="0"/>
        <w:autoSpaceDN w:val="0"/>
        <w:adjustRightInd w:val="0"/>
        <w:spacing w:line="360" w:lineRule="auto"/>
        <w:ind w:left="-720" w:firstLine="720"/>
        <w:rPr>
          <w:bCs/>
          <w:vertAlign w:val="superscript"/>
        </w:rPr>
      </w:pPr>
      <w:r>
        <w:t xml:space="preserve">To assess the efficacy of bypass structures in passing kelts, standard fish guidance efficiency (FGE) metrics were calculated (guided </w:t>
      </w:r>
      <w:proofErr w:type="gramStart"/>
      <w:r>
        <w:t>/[</w:t>
      </w:r>
      <w:proofErr w:type="gramEnd"/>
      <w:r>
        <w:t xml:space="preserve">guided + unguided]).  Similarly, separate metrics associated with PSC efficiency were calculated.  First, ‘entrance efficiency’ is defined as the number of kelts entering the PSC divided by the total number of fish that encountered the face of the PSC.  Second, ‘passage efficiency’ is defined as the number of kelts passing the dam through the PSC, divided by the number of kelts entering the PSC.  </w:t>
      </w:r>
      <w:proofErr w:type="gramStart"/>
      <w:r>
        <w:t>The PSC configuration extended across turbine units 1-6 and 6 m upstream into the forebay.</w:t>
      </w:r>
      <w:proofErr w:type="gramEnd"/>
      <w:r>
        <w:t xml:space="preserve">  Kelts entering the PSC could have passed above trash racks into the </w:t>
      </w:r>
      <w:proofErr w:type="gramStart"/>
      <w:r>
        <w:t>ITS</w:t>
      </w:r>
      <w:proofErr w:type="gramEnd"/>
      <w:r>
        <w:t xml:space="preserve"> when open, or through the turbine intakes.  Kelts entering into the turbine intakes could be screened into gatewells or travel turbine units.  Due to potential violations in assumptions of data normality, nonparametric tests were used to compare median residence and passage times (Zar 1996).  Once data were completely proofed, </w:t>
      </w:r>
      <w:r>
        <w:lastRenderedPageBreak/>
        <w:t>all subsequent analyses were conducted in Statistical Analysis Systems (SAS, version 8.0, SAS Institute Inc., Car N.C., USA)</w:t>
      </w:r>
      <w:r>
        <w:rPr>
          <w:rStyle w:val="FootnoteReference"/>
        </w:rPr>
        <w:t xml:space="preserve"> </w:t>
      </w:r>
      <w:r>
        <w:rPr>
          <w:rStyle w:val="FootnoteReference"/>
        </w:rPr>
        <w:footnoteReference w:customMarkFollows="1" w:id="4"/>
        <w:t>4</w:t>
      </w:r>
      <w:r>
        <w:t>.</w:t>
      </w:r>
    </w:p>
    <w:p w:rsidR="001B46BD" w:rsidRDefault="001B46BD">
      <w:pPr>
        <w:pStyle w:val="BodyTextIndent"/>
        <w:spacing w:line="360" w:lineRule="auto"/>
        <w:ind w:firstLine="0"/>
        <w:rPr>
          <w:bCs/>
          <w:sz w:val="16"/>
        </w:rPr>
      </w:pPr>
    </w:p>
    <w:p w:rsidR="001B46BD" w:rsidRDefault="001B46BD">
      <w:pPr>
        <w:pStyle w:val="BodyTextIndent"/>
        <w:spacing w:line="360" w:lineRule="auto"/>
        <w:ind w:firstLine="0"/>
        <w:rPr>
          <w:bCs/>
          <w:sz w:val="16"/>
        </w:rPr>
      </w:pPr>
    </w:p>
    <w:p w:rsidR="001B46BD" w:rsidRDefault="00575911">
      <w:pPr>
        <w:pStyle w:val="BodyTextIndent"/>
        <w:spacing w:line="360" w:lineRule="auto"/>
        <w:ind w:firstLine="0"/>
        <w:rPr>
          <w:b/>
        </w:rPr>
      </w:pPr>
      <w:r>
        <w:rPr>
          <w:b/>
        </w:rPr>
        <w:t>Kelt Collection, Tagging, Transport, and Release</w:t>
      </w:r>
    </w:p>
    <w:p w:rsidR="001B46BD" w:rsidRDefault="00575911">
      <w:pPr>
        <w:pStyle w:val="BlockText"/>
        <w:spacing w:line="360" w:lineRule="auto"/>
        <w:ind w:right="0"/>
      </w:pPr>
      <w:r>
        <w:tab/>
        <w:t>Migrating steelhead were obtained from the COE juvenile bypass separators at Lower Granite and Little Goose dams.  Steelhead were removed from the bypass separator and transferred via sanctuary dip-net to a nearby 190-liter sampling tank containing river water and a buffered solution of tricaine methanesulfonate (MS-222) at 60 parts-per-million.  To differentiate between kelts and pre-spawn migrants, specimens were scanned with an Aloka</w:t>
      </w:r>
      <w:r>
        <w:sym w:font="Symbol" w:char="F0E2"/>
      </w:r>
      <w:r>
        <w:rPr>
          <w:rStyle w:val="FootnoteReference"/>
        </w:rPr>
        <w:footnoteReference w:customMarkFollows="1" w:id="5"/>
        <w:t>4</w:t>
      </w:r>
      <w:r>
        <w:t xml:space="preserve"> ultrasound machine to assess gonad maturation and sex (Martin et al. 1983, Reimers et al. 1987, Shields et al. 1993, Blythe et al. 1994, Arkush and Petervary 1998).  Sexually mature </w:t>
      </w:r>
      <w:proofErr w:type="gramStart"/>
      <w:r>
        <w:t>steelhead were</w:t>
      </w:r>
      <w:proofErr w:type="gramEnd"/>
      <w:r>
        <w:t xml:space="preserve"> immediately released back to the bypass system, while kelts were retained for tagging.  </w:t>
      </w:r>
    </w:p>
    <w:p w:rsidR="001B46BD" w:rsidRDefault="001B46B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360" w:lineRule="auto"/>
        <w:ind w:left="-720"/>
      </w:pPr>
    </w:p>
    <w:p w:rsidR="001B46BD" w:rsidRDefault="00575911">
      <w:pPr>
        <w:pStyle w:val="BodyTextIndent"/>
        <w:tabs>
          <w:tab w:val="left" w:pos="0"/>
          <w:tab w:val="right" w:pos="8640"/>
        </w:tabs>
        <w:spacing w:line="360" w:lineRule="auto"/>
        <w:ind w:firstLine="0"/>
      </w:pPr>
      <w:r>
        <w:t xml:space="preserve">            Fish condition factors were evaluated concurrent with the ultrasound spawning status identification (Evans and Beatty 2000).  Data on fish length (cm fork length), condition (good, fair, poor, dead), coloration (bright, intermediate, dark), fin wear and fungus (ranked by degree of severity), hatchery or wild lineage (based on adipose fin clips), and physical anomalies (e.g., head burn) were recorded.  The abdominal appearance (fat, intermediate, imploded/thin) was also recorded.  Examination time averaged approximately five minutes per fish. </w:t>
      </w:r>
    </w:p>
    <w:p w:rsidR="001B46BD" w:rsidRDefault="00575911">
      <w:pPr>
        <w:pStyle w:val="BodyTextIndent"/>
        <w:tabs>
          <w:tab w:val="left" w:pos="-720"/>
          <w:tab w:val="right" w:pos="8640"/>
        </w:tabs>
        <w:spacing w:line="360" w:lineRule="auto"/>
        <w:ind w:firstLine="0"/>
      </w:pPr>
      <w:r>
        <w:t xml:space="preserve">             </w:t>
      </w:r>
    </w:p>
    <w:p w:rsidR="001B46BD" w:rsidRDefault="00575911">
      <w:pPr>
        <w:pStyle w:val="BodyTextIndent"/>
        <w:tabs>
          <w:tab w:val="left" w:pos="-720"/>
          <w:tab w:val="right" w:pos="8640"/>
        </w:tabs>
        <w:spacing w:line="360" w:lineRule="auto"/>
        <w:ind w:firstLine="0"/>
      </w:pPr>
      <w:r>
        <w:t xml:space="preserve">          Radio-tags operating on a frequency of 150.600 MHZ were attached to steelhead kelts.  Sixty-nine day (d) tags were 10.3 mm (diameter) x 29 mm and weighed 3.7 g in air, while 40-d </w:t>
      </w:r>
    </w:p>
    <w:p w:rsidR="001B46BD" w:rsidRDefault="00575911">
      <w:pPr>
        <w:pStyle w:val="BodyTextIndent"/>
        <w:tabs>
          <w:tab w:val="left" w:pos="-720"/>
          <w:tab w:val="right" w:pos="8640"/>
        </w:tabs>
        <w:spacing w:line="360" w:lineRule="auto"/>
        <w:ind w:firstLine="0"/>
      </w:pPr>
      <w:proofErr w:type="gramStart"/>
      <w:r>
        <w:t>tags</w:t>
      </w:r>
      <w:proofErr w:type="gramEnd"/>
      <w:r>
        <w:t xml:space="preserve"> were 9.2 mm x 20 mm and weighed 1.3 g, and 17-d tags were 8.2 mm x 19 mm and </w:t>
      </w:r>
    </w:p>
    <w:p w:rsidR="001B46BD" w:rsidRDefault="00575911">
      <w:pPr>
        <w:pStyle w:val="BodyTextIndent"/>
        <w:tabs>
          <w:tab w:val="left" w:pos="-720"/>
          <w:tab w:val="right" w:pos="8640"/>
        </w:tabs>
        <w:spacing w:line="360" w:lineRule="auto"/>
        <w:ind w:firstLine="0"/>
      </w:pPr>
      <w:proofErr w:type="gramStart"/>
      <w:r>
        <w:t>weighed</w:t>
      </w:r>
      <w:proofErr w:type="gramEnd"/>
      <w:r>
        <w:t xml:space="preserve"> 1.0 g.  Sixty-nine and 40-d tags transmitted once every five seconds, while the 17-d tags </w:t>
      </w:r>
    </w:p>
    <w:p w:rsidR="001B46BD" w:rsidRDefault="00575911">
      <w:pPr>
        <w:pStyle w:val="BodyTextIndent"/>
        <w:tabs>
          <w:tab w:val="left" w:pos="-720"/>
          <w:tab w:val="right" w:pos="8640"/>
        </w:tabs>
        <w:spacing w:line="360" w:lineRule="auto"/>
        <w:ind w:firstLine="0"/>
      </w:pPr>
      <w:proofErr w:type="gramStart"/>
      <w:r>
        <w:t>transmitted</w:t>
      </w:r>
      <w:proofErr w:type="gramEnd"/>
      <w:r>
        <w:t xml:space="preserve"> every two seconds.  Conservative radio-tag to body weight standards for biotelemetry applications (Brown et al. 1999) </w:t>
      </w:r>
      <w:proofErr w:type="gramStart"/>
      <w:r>
        <w:t>were</w:t>
      </w:r>
      <w:proofErr w:type="gramEnd"/>
      <w:r>
        <w:t xml:space="preserve"> met.  All attached radio-tags were below 2% of the body weight of tagged kelts.</w:t>
      </w:r>
    </w:p>
    <w:p w:rsidR="001B46BD" w:rsidRDefault="001B46BD">
      <w:pPr>
        <w:pStyle w:val="BodyTextIndent"/>
        <w:tabs>
          <w:tab w:val="left" w:pos="-720"/>
          <w:tab w:val="right" w:pos="8640"/>
        </w:tabs>
        <w:spacing w:line="360" w:lineRule="auto"/>
        <w:ind w:firstLine="0"/>
        <w:rPr>
          <w:sz w:val="16"/>
        </w:rPr>
      </w:pPr>
    </w:p>
    <w:p w:rsidR="001B46BD" w:rsidRDefault="001B46BD">
      <w:pPr>
        <w:pStyle w:val="BodyTextIndent"/>
        <w:tabs>
          <w:tab w:val="left" w:pos="-720"/>
          <w:tab w:val="right" w:pos="8640"/>
        </w:tabs>
        <w:spacing w:line="360" w:lineRule="auto"/>
        <w:ind w:firstLine="0"/>
      </w:pPr>
      <w:r w:rsidRPr="001B46BD">
        <w:rPr>
          <w:noProof/>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198pt;margin-top:117.9pt;width:234pt;height:180pt;z-index:251658752;visibility:visible;mso-wrap-edited:f" o:allowoverlap="f">
            <v:imagedata r:id="rId13" o:title="" cropbottom="11707f" cropleft="11780f"/>
            <w10:wrap type="square" side="left"/>
          </v:shape>
          <o:OLEObject Type="Embed" ProgID="Word.Picture.8" ShapeID="_x0000_s1044" DrawAspect="Content" ObjectID="_1396707013" r:id="rId14"/>
        </w:pict>
      </w:r>
      <w:r w:rsidR="00575911">
        <w:t xml:space="preserve">            Radio-tags had a wrap of polyolefin with a 0.05 cm. hollow tube underneath, thus, allowing a suture to pass through the tube for affixing transmitters to kelts.  A 16 cm piece of size 1 chromic-gut resorbing suture was inserted through the tube of the transmitter; a surgical needle was then tied to each end of the suture.  Suture ends were passed through the cartilage at the base of the kelts’ dorsal fin; three dorsal spines separated insertion points.  Needles were then removed from the suture and a surgical knot was tied on the far side of the dorsal fin affixing the transmitter to the </w:t>
      </w:r>
      <w:proofErr w:type="gramStart"/>
      <w:r w:rsidR="00575911">
        <w:t>kelt</w:t>
      </w:r>
      <w:proofErr w:type="gramEnd"/>
      <w:r w:rsidR="00575911">
        <w:t xml:space="preserve"> (Figure 2).</w:t>
      </w:r>
    </w:p>
    <w:p w:rsidR="001B46BD" w:rsidRDefault="00575911">
      <w:pPr>
        <w:pStyle w:val="BodyTextIndent"/>
        <w:tabs>
          <w:tab w:val="left" w:pos="-720"/>
          <w:tab w:val="right" w:pos="8640"/>
        </w:tabs>
        <w:spacing w:line="360" w:lineRule="auto"/>
        <w:ind w:firstLine="0"/>
      </w:pPr>
      <w:r>
        <w:t xml:space="preserve"> </w:t>
      </w:r>
    </w:p>
    <w:p w:rsidR="001B46BD" w:rsidRDefault="00575911">
      <w:pPr>
        <w:pStyle w:val="BodyTextIndent"/>
        <w:tabs>
          <w:tab w:val="left" w:pos="-720"/>
          <w:tab w:val="right" w:pos="8640"/>
        </w:tabs>
        <w:spacing w:line="360" w:lineRule="auto"/>
        <w:ind w:right="720" w:firstLine="0"/>
      </w:pPr>
      <w:r>
        <w:t xml:space="preserve">           Radio tags were attached to kelts </w:t>
      </w:r>
    </w:p>
    <w:p w:rsidR="001B46BD" w:rsidRDefault="00575911">
      <w:pPr>
        <w:pStyle w:val="BodyTextIndent"/>
        <w:tabs>
          <w:tab w:val="left" w:pos="-720"/>
          <w:tab w:val="right" w:pos="8640"/>
        </w:tabs>
        <w:spacing w:line="360" w:lineRule="auto"/>
        <w:ind w:firstLine="0"/>
      </w:pPr>
      <w:proofErr w:type="gramStart"/>
      <w:r>
        <w:t>represented</w:t>
      </w:r>
      <w:proofErr w:type="gramEnd"/>
      <w:r>
        <w:t xml:space="preserve"> by all of the condition categories</w:t>
      </w:r>
    </w:p>
    <w:p w:rsidR="001B46BD" w:rsidRDefault="00575911">
      <w:pPr>
        <w:pStyle w:val="BodyTextIndent"/>
        <w:tabs>
          <w:tab w:val="left" w:pos="-720"/>
          <w:tab w:val="right" w:pos="8640"/>
        </w:tabs>
        <w:spacing w:line="360" w:lineRule="auto"/>
        <w:ind w:firstLine="0"/>
      </w:pPr>
      <w:proofErr w:type="gramStart"/>
      <w:r>
        <w:t>(i.e., good, fair, poor).</w:t>
      </w:r>
      <w:proofErr w:type="gramEnd"/>
      <w:r>
        <w:t xml:space="preserve">  However, due to concerns of exceeding ESA take authorization few fish from the poor condition category were tagged.  Of the 159 radio-tagged and released kelts, four were in poor condition,         </w:t>
      </w:r>
      <w:r>
        <w:rPr>
          <w:b/>
          <w:bCs/>
        </w:rPr>
        <w:t xml:space="preserve">Figure 2.  Radio-tagged steelhead </w:t>
      </w:r>
      <w:proofErr w:type="gramStart"/>
      <w:r>
        <w:rPr>
          <w:b/>
          <w:bCs/>
        </w:rPr>
        <w:t>kelt</w:t>
      </w:r>
      <w:proofErr w:type="gramEnd"/>
      <w:r>
        <w:rPr>
          <w:b/>
          <w:bCs/>
          <w:i/>
          <w:iCs/>
        </w:rPr>
        <w:t>.</w:t>
      </w:r>
    </w:p>
    <w:p w:rsidR="001B46BD" w:rsidRDefault="00575911">
      <w:pPr>
        <w:pStyle w:val="BlockText"/>
        <w:spacing w:line="360" w:lineRule="auto"/>
        <w:ind w:right="0"/>
      </w:pPr>
      <w:r>
        <w:t>33 were in fair condition, and 122 of the kelts were in good condition.  After radio-tag attachment, kelts were placed head down in a cylindrical tube (10 cm diameter) containing enough river water to cover the operculum.  Kelts were then carried via the capped tube and placed into circulated oxygenated river water in a 300-gallon transport trailer.  Transportation from the Snake River dams to the release sites averaged between 6-7 hours, with most releases occurring between 2000 and 2200 hours.  Kelt release sites were located at either the Cascade Locks (CCL) or Stevenson boat ramps (SBR) directly above BON.  Air-spawned Hood River female</w:t>
      </w:r>
      <w:r>
        <w:rPr>
          <w:vertAlign w:val="superscript"/>
        </w:rPr>
        <w:t xml:space="preserve"> </w:t>
      </w:r>
      <w:proofErr w:type="gramStart"/>
      <w:r>
        <w:t>steelhead were</w:t>
      </w:r>
      <w:proofErr w:type="gramEnd"/>
      <w:r>
        <w:t xml:space="preserve"> radio tagged and transported from the Parkdale Fish Monitoring and Production Facility to evaluate the downstream passage behavior of these Bonneville Pool steelhead.  One hundred fifty-nine steelhead were released, 148 kelts from the Snake River, and 11 air-spawned steelhead from the Hood River (Table 1). </w:t>
      </w:r>
    </w:p>
    <w:p w:rsidR="001B46BD" w:rsidRDefault="001B46BD">
      <w:pPr>
        <w:pStyle w:val="BodyTextIndent2"/>
        <w:tabs>
          <w:tab w:val="left" w:pos="-720"/>
        </w:tabs>
        <w:spacing w:line="360" w:lineRule="auto"/>
        <w:ind w:left="-720"/>
        <w:jc w:val="center"/>
        <w:rPr>
          <w:b/>
          <w:caps/>
          <w:sz w:val="28"/>
          <w:u w:val="single"/>
        </w:rPr>
      </w:pPr>
    </w:p>
    <w:p w:rsidR="001B46BD" w:rsidRDefault="001B46BD">
      <w:pPr>
        <w:pStyle w:val="BodyTextIndent2"/>
        <w:tabs>
          <w:tab w:val="left" w:pos="-720"/>
        </w:tabs>
        <w:spacing w:line="360" w:lineRule="auto"/>
        <w:ind w:left="-720"/>
        <w:jc w:val="center"/>
        <w:rPr>
          <w:b/>
          <w:caps/>
          <w:sz w:val="28"/>
          <w:u w:val="single"/>
        </w:rPr>
      </w:pPr>
    </w:p>
    <w:p w:rsidR="001B46BD" w:rsidRDefault="001B46BD">
      <w:pPr>
        <w:pStyle w:val="BodyTextIndent2"/>
        <w:tabs>
          <w:tab w:val="left" w:pos="-720"/>
        </w:tabs>
        <w:spacing w:line="360" w:lineRule="auto"/>
        <w:ind w:left="-720"/>
        <w:jc w:val="center"/>
        <w:rPr>
          <w:b/>
          <w:caps/>
          <w:sz w:val="28"/>
          <w:u w:val="single"/>
        </w:rPr>
      </w:pPr>
    </w:p>
    <w:p w:rsidR="001B46BD" w:rsidRDefault="001B46BD">
      <w:pPr>
        <w:pStyle w:val="BodyTextIndent2"/>
        <w:tabs>
          <w:tab w:val="left" w:pos="-720"/>
        </w:tabs>
        <w:spacing w:line="360" w:lineRule="auto"/>
        <w:ind w:left="-720"/>
        <w:jc w:val="center"/>
        <w:rPr>
          <w:b/>
          <w:caps/>
          <w:sz w:val="28"/>
          <w:u w:val="single"/>
        </w:rPr>
      </w:pPr>
    </w:p>
    <w:p w:rsidR="001B46BD" w:rsidRDefault="00575911">
      <w:pPr>
        <w:pStyle w:val="BodyTextIndent2"/>
        <w:tabs>
          <w:tab w:val="left" w:pos="-720"/>
        </w:tabs>
        <w:spacing w:line="360" w:lineRule="auto"/>
        <w:ind w:left="-720"/>
        <w:jc w:val="center"/>
        <w:rPr>
          <w:b/>
          <w:caps/>
          <w:sz w:val="28"/>
          <w:u w:val="single"/>
        </w:rPr>
      </w:pPr>
      <w:r>
        <w:rPr>
          <w:b/>
          <w:caps/>
          <w:sz w:val="28"/>
          <w:u w:val="single"/>
        </w:rPr>
        <w:lastRenderedPageBreak/>
        <w:t>Results</w:t>
      </w:r>
    </w:p>
    <w:p w:rsidR="001B46BD" w:rsidRDefault="001B46BD">
      <w:pPr>
        <w:pStyle w:val="BodyTextIndent2"/>
        <w:tabs>
          <w:tab w:val="left" w:pos="-720"/>
        </w:tabs>
        <w:spacing w:line="360" w:lineRule="auto"/>
        <w:ind w:left="-720"/>
        <w:jc w:val="center"/>
        <w:rPr>
          <w:b/>
          <w:caps/>
          <w:sz w:val="28"/>
          <w:u w:val="single"/>
        </w:rPr>
      </w:pPr>
    </w:p>
    <w:p w:rsidR="001B46BD" w:rsidRDefault="00575911">
      <w:pPr>
        <w:pStyle w:val="BodyTextIndent"/>
        <w:spacing w:line="360" w:lineRule="auto"/>
        <w:ind w:firstLine="0"/>
        <w:jc w:val="both"/>
        <w:rPr>
          <w:b/>
        </w:rPr>
      </w:pPr>
      <w:r>
        <w:rPr>
          <w:b/>
        </w:rPr>
        <w:t>Project Operations</w:t>
      </w:r>
    </w:p>
    <w:p w:rsidR="001B46BD" w:rsidRDefault="00575911">
      <w:pPr>
        <w:pStyle w:val="BodyTextIndent"/>
        <w:spacing w:line="360" w:lineRule="auto"/>
      </w:pPr>
      <w:r>
        <w:t>Total discharge at Bonneville Dam between 15 March and 15 June was moderate and ranged from 164.4 kcfs to 387.1 kcfs.  The spill discharge ranged from zero kcfs during the two days prior to our first release of tagged kelts at Cascade Locks, to 143.8 kcfs through the spring study period.  The percentage of the total discharge that passed through the spillway increased in April and remained relatively steady through May.  During April through June discharge from PH II decreased, with PH I discharge remaining constant, averaging 98.8 kcfs for the study period (Figure 3, FPC 2000).</w:t>
      </w:r>
    </w:p>
    <w:p w:rsidR="001B46BD" w:rsidRDefault="001B46BD">
      <w:pPr>
        <w:pStyle w:val="BodyTextIndent"/>
        <w:spacing w:line="360" w:lineRule="auto"/>
      </w:pPr>
    </w:p>
    <w:p w:rsidR="001B46BD" w:rsidRDefault="00575911">
      <w:pPr>
        <w:pStyle w:val="BodyTextIndent"/>
        <w:spacing w:line="360" w:lineRule="auto"/>
        <w:ind w:firstLine="0"/>
        <w:rPr>
          <w:b/>
        </w:rPr>
      </w:pPr>
      <w:r>
        <w:rPr>
          <w:b/>
        </w:rPr>
        <w:t>Number of Kelts Contacted</w:t>
      </w:r>
    </w:p>
    <w:p w:rsidR="001B46BD" w:rsidRDefault="00575911">
      <w:pPr>
        <w:pStyle w:val="FootnoteText"/>
        <w:spacing w:line="360" w:lineRule="auto"/>
        <w:ind w:left="-720" w:firstLine="720"/>
        <w:rPr>
          <w:b/>
          <w:sz w:val="24"/>
        </w:rPr>
      </w:pPr>
      <w:r>
        <w:rPr>
          <w:sz w:val="24"/>
        </w:rPr>
        <w:t xml:space="preserve">Overall, </w:t>
      </w:r>
      <w:r>
        <w:rPr>
          <w:smallCaps/>
          <w:sz w:val="24"/>
        </w:rPr>
        <w:t xml:space="preserve">91% (145/159) </w:t>
      </w:r>
      <w:r>
        <w:rPr>
          <w:sz w:val="24"/>
        </w:rPr>
        <w:t xml:space="preserve">of the kelts that were radio-tagged and released were contacted above Bonneville Dam.  Below Bonneville Dam, 93% (148/159) of the tagged kelts were contacted in juvenile bypass systems, tailrace areas, at exit stations, or in combinations of these areas.  Similarly, </w:t>
      </w:r>
      <w:r>
        <w:rPr>
          <w:smallCaps/>
          <w:sz w:val="24"/>
        </w:rPr>
        <w:t xml:space="preserve">89% (124/139) </w:t>
      </w:r>
      <w:r>
        <w:rPr>
          <w:sz w:val="24"/>
        </w:rPr>
        <w:t xml:space="preserve">of the kelts for which there are full passage histories were contacted at the exit station (Table 2).  Separated from the 139 kelts with full passage histories are 15 kelts with partial passage histories.  Partial passage histories include; six kelts whose last known locations were in forebay areas and nine kelts whose history of receiver contacts begin at the exit station below Bonneville Dam.  </w:t>
      </w:r>
      <w:r>
        <w:rPr>
          <w:sz w:val="24"/>
          <w:szCs w:val="24"/>
        </w:rPr>
        <w:t>In addition to partial histories, t</w:t>
      </w:r>
      <w:r>
        <w:rPr>
          <w:sz w:val="24"/>
        </w:rPr>
        <w:t xml:space="preserve">here are no contact records for three of the released kelts (2 SnR, 1 HR), and two air-spawned steelhead from the HR were only contacted at sites upriver from Bonneville Dam.  Kelt detection rates and residence times (Table 3) could have been influenced by a variety of factors including; radio interference, transmitter loss, transmitter depth, and </w:t>
      </w:r>
      <w:proofErr w:type="gramStart"/>
      <w:r>
        <w:rPr>
          <w:sz w:val="24"/>
        </w:rPr>
        <w:t>kelt</w:t>
      </w:r>
      <w:proofErr w:type="gramEnd"/>
      <w:r>
        <w:rPr>
          <w:sz w:val="24"/>
        </w:rPr>
        <w:t xml:space="preserve"> mortality. </w:t>
      </w:r>
      <w:r>
        <w:rPr>
          <w:sz w:val="24"/>
          <w:szCs w:val="24"/>
        </w:rPr>
        <w:t xml:space="preserve">  </w:t>
      </w:r>
      <w:r>
        <w:rPr>
          <w:sz w:val="24"/>
        </w:rPr>
        <w:t xml:space="preserve">  </w:t>
      </w:r>
    </w:p>
    <w:p w:rsidR="001B46BD" w:rsidRDefault="001B46BD">
      <w:pPr>
        <w:pStyle w:val="BodyTextIndent"/>
        <w:spacing w:line="360" w:lineRule="auto"/>
        <w:ind w:firstLine="0"/>
        <w:rPr>
          <w:b/>
          <w:bCs/>
        </w:rPr>
      </w:pPr>
    </w:p>
    <w:p w:rsidR="001B46BD" w:rsidRDefault="00575911">
      <w:pPr>
        <w:pStyle w:val="BodyTextIndent"/>
        <w:spacing w:line="360" w:lineRule="auto"/>
        <w:ind w:firstLine="0"/>
        <w:rPr>
          <w:b/>
          <w:bCs/>
        </w:rPr>
      </w:pPr>
      <w:r>
        <w:rPr>
          <w:b/>
          <w:bCs/>
        </w:rPr>
        <w:t>Passage Efficiencies</w:t>
      </w:r>
    </w:p>
    <w:p w:rsidR="001B46BD" w:rsidRDefault="00575911">
      <w:pPr>
        <w:pStyle w:val="BodyTextIndent"/>
        <w:spacing w:line="360" w:lineRule="auto"/>
        <w:rPr>
          <w:b/>
          <w:bCs/>
        </w:rPr>
      </w:pPr>
      <w:r>
        <w:rPr>
          <w:b/>
          <w:bCs/>
        </w:rPr>
        <w:t>PH I</w:t>
      </w:r>
    </w:p>
    <w:p w:rsidR="001B46BD" w:rsidRDefault="00575911">
      <w:pPr>
        <w:pStyle w:val="BodyText"/>
        <w:spacing w:line="360" w:lineRule="auto"/>
        <w:ind w:left="-720" w:firstLine="720"/>
      </w:pPr>
      <w:r>
        <w:t>Passage through PH I was predominately through turbine units.  Of the released kelts with full passage records, 39.5% (55/139) were contacted passing via PH I</w:t>
      </w:r>
      <w:r>
        <w:rPr>
          <w:color w:val="FF0000"/>
        </w:rPr>
        <w:t xml:space="preserve">.  </w:t>
      </w:r>
      <w:r>
        <w:t xml:space="preserve">Due to a lack of receiver contacts prior to, during, and directly after passage we were unable to assign a specific passage route (e.g., turbine, bypass) to three kelts at PH I with full passage histories.  These three kelts are excluded from </w:t>
      </w:r>
      <w:r>
        <w:lastRenderedPageBreak/>
        <w:t>PH I FGE calculations.  At PH I, 83% (43/52) of the kelts passing this powerhouse were detected passing through turbine units.  Of kelts passing PH I turbine units, 77% (33/43) were detected in the PH I tailrace, and 88% (38/43) contacted while passing the exit station.  Characterizing guidance as kelts migrating through the PSC and JBS generates an overall PH I FGE of 44% (4</w:t>
      </w:r>
      <w:r>
        <w:rPr>
          <w:vertAlign w:val="superscript"/>
        </w:rPr>
        <w:t>ITS</w:t>
      </w:r>
      <w:r>
        <w:t>+5</w:t>
      </w:r>
      <w:r>
        <w:rPr>
          <w:vertAlign w:val="superscript"/>
        </w:rPr>
        <w:t>JBS</w:t>
      </w:r>
      <w:r>
        <w:t>+14</w:t>
      </w:r>
      <w:r>
        <w:rPr>
          <w:vertAlign w:val="superscript"/>
        </w:rPr>
        <w:t>PSC-TU</w:t>
      </w:r>
      <w:proofErr w:type="gramStart"/>
      <w:r>
        <w:t>/[</w:t>
      </w:r>
      <w:proofErr w:type="gramEnd"/>
      <w:r>
        <w:t>23+29]).  Determining FGE in terms of kelts solely traveling through bypass systems (i.e., ITS and JBS) produces the standard PH I FGE metric of 17% (4</w:t>
      </w:r>
      <w:r>
        <w:rPr>
          <w:vertAlign w:val="superscript"/>
        </w:rPr>
        <w:t>ITS</w:t>
      </w:r>
      <w:r>
        <w:t>+5</w:t>
      </w:r>
      <w:r>
        <w:rPr>
          <w:vertAlign w:val="superscript"/>
        </w:rPr>
        <w:t>JBS</w:t>
      </w:r>
      <w:proofErr w:type="gramStart"/>
      <w:r>
        <w:t>/[</w:t>
      </w:r>
      <w:proofErr w:type="gramEnd"/>
      <w:r>
        <w:t>9+43]).  Two kelts at PH I were contacted at the ESBS and both passed underneath the screens and subsequently passed through turbine unit eight.</w:t>
      </w:r>
    </w:p>
    <w:p w:rsidR="001B46BD" w:rsidRDefault="001B46BD">
      <w:pPr>
        <w:pStyle w:val="BodyTextIndent"/>
        <w:spacing w:line="360" w:lineRule="auto"/>
        <w:rPr>
          <w:b/>
          <w:bCs/>
        </w:rPr>
      </w:pPr>
    </w:p>
    <w:p w:rsidR="001B46BD" w:rsidRDefault="00575911">
      <w:pPr>
        <w:pStyle w:val="BodyTextIndent"/>
        <w:spacing w:line="360" w:lineRule="auto"/>
      </w:pPr>
      <w:r>
        <w:rPr>
          <w:b/>
          <w:bCs/>
        </w:rPr>
        <w:t xml:space="preserve">PH I </w:t>
      </w:r>
      <w:r>
        <w:rPr>
          <w:b/>
        </w:rPr>
        <w:t xml:space="preserve">Prototype Surface Collector (PSC) </w:t>
      </w:r>
    </w:p>
    <w:p w:rsidR="001B46BD" w:rsidRDefault="00575911">
      <w:pPr>
        <w:pStyle w:val="BodyTextIndent"/>
        <w:spacing w:line="360" w:lineRule="auto"/>
        <w:jc w:val="both"/>
        <w:rPr>
          <w:b/>
        </w:rPr>
      </w:pPr>
      <w:r>
        <w:t>Sixty-eight percent (38/56) of the kelts that entered the PH I forebay were contacted at the face of the PSC.  At the PSC, initial entrance efficiency equaled 79% (30/38).  Of the 30 kelts that entered the PSC, 67% (20/30) passed through; of those, 20% (4/20) traveled through the ITS, 70% (14/20) passed turbine units, and 10% (2/20) were guided by STS into gatewells, and subsequently passed through gatewell orifices to the JBS.  Twelve of the 30 kelts that initially entered the collector (40%), passed through on their initial PSC entrance.  The remaining 60% (18/30) exited the collector and re-entered, with 30% (9/30) re-entering up to a maximum of four times before passing through the ITS, or into the turbine intakes</w:t>
      </w:r>
      <w:proofErr w:type="gramStart"/>
      <w:r>
        <w:t xml:space="preserve">. </w:t>
      </w:r>
      <w:proofErr w:type="gramEnd"/>
      <w:r>
        <w:t>This pattern of behavior is also reflected by the 33% (10/30) of kelts that entered the collector, exited and re-entered, up to seven times before exiting the collector and passing through a differing route.  Kelt exit and re-entrance behavior resulted in a passage efficiency of 29% (20/68) for the PSC.  Of the eight kelts that contacted and did not enter the PSC, 88% (7/8) subsequently passed through intakes and into turbine units 1-6.  Overall, of the 38 kelts that contacted the PSC,</w:t>
      </w:r>
      <w:r>
        <w:rPr>
          <w:b/>
        </w:rPr>
        <w:t xml:space="preserve"> </w:t>
      </w:r>
      <w:r>
        <w:t>53% (20/38) passed the dam after routing through the PSC (Table 4).</w:t>
      </w:r>
    </w:p>
    <w:p w:rsidR="001B46BD" w:rsidRDefault="001B46BD">
      <w:pPr>
        <w:pStyle w:val="BodyTextIndent"/>
        <w:spacing w:line="360" w:lineRule="auto"/>
        <w:jc w:val="both"/>
        <w:rPr>
          <w:b/>
        </w:rPr>
      </w:pPr>
    </w:p>
    <w:p w:rsidR="001B46BD" w:rsidRDefault="00575911">
      <w:pPr>
        <w:pStyle w:val="BodyTextIndent"/>
        <w:spacing w:line="360" w:lineRule="auto"/>
        <w:jc w:val="both"/>
        <w:rPr>
          <w:b/>
        </w:rPr>
      </w:pPr>
      <w:r>
        <w:rPr>
          <w:b/>
        </w:rPr>
        <w:t>PH II</w:t>
      </w:r>
    </w:p>
    <w:p w:rsidR="001B46BD" w:rsidRDefault="00575911">
      <w:pPr>
        <w:pStyle w:val="BodyTextIndent"/>
        <w:spacing w:line="360" w:lineRule="auto"/>
      </w:pPr>
      <w:r>
        <w:t>Of the released kelts with full passage records, 21% (29/139) were contacted passing PH II.  Similar to the data from PH I, passage through PH II was mainly through turbine units.  At PH II, 79% (23/29) of kelts were detected passing through turbine units, thereby, generating a screened FGE of 21% (6</w:t>
      </w:r>
      <w:proofErr w:type="gramStart"/>
      <w:r>
        <w:t>/[</w:t>
      </w:r>
      <w:proofErr w:type="gramEnd"/>
      <w:r>
        <w:t xml:space="preserve">6+23]) for the kelts that passed there.  In the PH II tailrace, 100% of </w:t>
      </w:r>
      <w:r>
        <w:lastRenderedPageBreak/>
        <w:t xml:space="preserve">the kelts that exited turbines were detected, while 91% (21/23) of the kelts that passed turbines were contacted at the exit station (Table 2).  </w:t>
      </w:r>
    </w:p>
    <w:p w:rsidR="001B46BD" w:rsidRDefault="001B46BD">
      <w:pPr>
        <w:pStyle w:val="BodyTextIndent"/>
        <w:spacing w:line="360" w:lineRule="auto"/>
        <w:jc w:val="both"/>
        <w:rPr>
          <w:b/>
        </w:rPr>
      </w:pPr>
    </w:p>
    <w:p w:rsidR="001B46BD" w:rsidRDefault="00575911">
      <w:pPr>
        <w:pStyle w:val="BodyTextIndent"/>
        <w:spacing w:line="360" w:lineRule="auto"/>
        <w:jc w:val="both"/>
        <w:rPr>
          <w:b/>
        </w:rPr>
      </w:pPr>
      <w:r>
        <w:rPr>
          <w:b/>
        </w:rPr>
        <w:t>Spillway</w:t>
      </w:r>
    </w:p>
    <w:p w:rsidR="001B46BD" w:rsidRDefault="00575911">
      <w:pPr>
        <w:pStyle w:val="BodyTextIndent"/>
        <w:spacing w:line="360" w:lineRule="auto"/>
      </w:pPr>
      <w:r>
        <w:t xml:space="preserve">Overall, 39.5% (55/139) of the released kelts with full passage records were contacted passing via the spillway.  </w:t>
      </w:r>
    </w:p>
    <w:p w:rsidR="001B46BD" w:rsidRDefault="001B46BD">
      <w:pPr>
        <w:pStyle w:val="BodyTextIndent"/>
        <w:spacing w:line="360" w:lineRule="auto"/>
      </w:pPr>
    </w:p>
    <w:p w:rsidR="001B46BD" w:rsidRDefault="00575911">
      <w:pPr>
        <w:pStyle w:val="BodyTextIndent"/>
        <w:spacing w:line="360" w:lineRule="auto"/>
        <w:ind w:firstLine="0"/>
        <w:jc w:val="both"/>
        <w:rPr>
          <w:b/>
        </w:rPr>
      </w:pPr>
      <w:r>
        <w:rPr>
          <w:b/>
        </w:rPr>
        <w:t>Behavior</w:t>
      </w:r>
    </w:p>
    <w:p w:rsidR="001B46BD" w:rsidRDefault="00575911">
      <w:pPr>
        <w:pStyle w:val="BodyTextIndent"/>
        <w:spacing w:line="360" w:lineRule="auto"/>
      </w:pPr>
      <w:r>
        <w:t>The cumulative number of antennas contacted was a measure of the amount of lateral movement exhibited by kelts across the face of the dam (Figure 4).  Telemetry data indicates kelts passing via the spillway displayed significantly fewer lateral movements than kelts at the powerhouses (Wilcoxon; PH I P &lt; 0.0001; PH II P = 0.0018).  Fewer lateral movements by kelts at the spillway resulted in significantly shorter forebay</w:t>
      </w:r>
      <w:r>
        <w:rPr>
          <w:smallCaps/>
        </w:rPr>
        <w:t xml:space="preserve"> </w:t>
      </w:r>
      <w:r>
        <w:t xml:space="preserve">residence and passage times than kelts passing via turbine units (Wilcoxon; full forebay, P &lt; 0.0001; final forebay, P &lt; 0.0001; passage times, P &lt; 0.0001) or juvenile bypass systems (Wilcoxon; full forebay, P = 0.0026; final forebay, </w:t>
      </w:r>
    </w:p>
    <w:p w:rsidR="001B46BD" w:rsidRDefault="00575911">
      <w:pPr>
        <w:pStyle w:val="BodyTextIndent"/>
        <w:spacing w:line="360" w:lineRule="auto"/>
        <w:ind w:firstLine="0"/>
        <w:rPr>
          <w:b/>
        </w:rPr>
      </w:pPr>
      <w:r>
        <w:t>P &lt; 0.0001; passage times, P = 0.0036)</w:t>
      </w:r>
      <w:proofErr w:type="gramStart"/>
      <w:r>
        <w:t xml:space="preserve">.   </w:t>
      </w:r>
      <w:proofErr w:type="gramEnd"/>
      <w:r>
        <w:t>Radio-tagged kelts at the powerhouses were similar in terms of lateral movements and residence times (Table 3).</w:t>
      </w:r>
      <w:r>
        <w:rPr>
          <w:b/>
        </w:rPr>
        <w:t xml:space="preserve">   </w:t>
      </w:r>
    </w:p>
    <w:p w:rsidR="001B46BD" w:rsidRDefault="001B46BD">
      <w:pPr>
        <w:pStyle w:val="BodyTextIndent"/>
        <w:spacing w:line="360" w:lineRule="auto"/>
      </w:pPr>
    </w:p>
    <w:p w:rsidR="001B46BD" w:rsidRDefault="00575911">
      <w:pPr>
        <w:pStyle w:val="BodyTextIndent"/>
        <w:spacing w:line="360" w:lineRule="auto"/>
      </w:pPr>
      <w:r>
        <w:t xml:space="preserve">Overall, kelts passing via the spillway displayed significantly shorter passage times (1:53) than through either PH I (10:58; Wilcoxon, P &lt; 0.0001), or PH </w:t>
      </w:r>
      <w:proofErr w:type="gramStart"/>
      <w:r>
        <w:t>II  (</w:t>
      </w:r>
      <w:proofErr w:type="gramEnd"/>
      <w:r>
        <w:t xml:space="preserve">15:21; Wilcoxon, P = 0.0003) (Table 3).  Median final forebay residence times were longest at PH I (8:39), followed by PH II (4:34), with significantly shorter times than either, PH I (Wilcoxon, P &lt; 0.0001) or PH II (Wilcoxon, P = 0.0001) at the spillway (0:15).  Tailrace residence times were representative of the tailrace distance to the exit gates (i.e., shortest distance from PH I, the spillway, followed by PH II), with the PH I tailrace having the shortest median times (0:17), followed by the spillway (0:27), and PH II (0:47).  Forebay residence and overall passage times decreased through all passage areas as the </w:t>
      </w:r>
      <w:proofErr w:type="gramStart"/>
      <w:r>
        <w:t>kelt</w:t>
      </w:r>
      <w:proofErr w:type="gramEnd"/>
      <w:r>
        <w:t xml:space="preserve"> passage season progressed through May. </w:t>
      </w:r>
    </w:p>
    <w:p w:rsidR="001B46BD" w:rsidRDefault="001B46BD">
      <w:pPr>
        <w:pStyle w:val="BodyTextIndent"/>
        <w:spacing w:line="360" w:lineRule="auto"/>
      </w:pPr>
    </w:p>
    <w:p w:rsidR="001B46BD" w:rsidRDefault="00575911">
      <w:pPr>
        <w:pStyle w:val="BodyTextIndent"/>
        <w:spacing w:line="360" w:lineRule="auto"/>
      </w:pPr>
      <w:r>
        <w:t xml:space="preserve">Kelts collected from the Hood River, Little Goose, and Lower Granite dams showed no difference in passage route while emigrating through Bonneville Dam  (Fisher’s, P = 0.3272).  The forebay residence and passage times of the 13 CCL release groups were not different </w:t>
      </w:r>
      <w:r>
        <w:lastRenderedPageBreak/>
        <w:t xml:space="preserve">between releases (Kruskal-Wallis; full forebay, P = 0.2363; final forebay, P = 0.2526; passage times, P = 0.2622).  Similar to CCL releases, the forebay residence and passage times of the four groups of kelts released at SBR were not different between releases (Kruskal-Wallis; full times, P = 0.4155; final times, P = 0.5815; passage times, P = 0.2065).  Kelts released from either the Washington (SBR) or Oregon (CCL) shores showed no differences in passage route selection through Bonneville Dam (Fisher’s, P=0.3731).  As well, no differences in the forebay residence or passage times were found between the two release sites (Wilcoxon; full forebay, P = 0.3776; final forebay, P = 0.5733; passage times, P = 0.3252).  </w:t>
      </w:r>
    </w:p>
    <w:p w:rsidR="001B46BD" w:rsidRDefault="001B46BD">
      <w:pPr>
        <w:pStyle w:val="BodyTextIndent"/>
        <w:spacing w:line="360" w:lineRule="auto"/>
      </w:pPr>
    </w:p>
    <w:p w:rsidR="001B46BD" w:rsidRDefault="00575911">
      <w:pPr>
        <w:pStyle w:val="BodyTextIndent"/>
        <w:spacing w:line="360" w:lineRule="auto"/>
        <w:jc w:val="both"/>
      </w:pPr>
      <w:r>
        <w:t>The passage routes that kelts took at Bonneville Dam seemed to change as the season progressed (Fisher’s, P = 0.0109; 99% lower confidence limit, P = 0.0082; 99% upper confidence limit, P = 0.0136).  A higher proportion of kelts passing through the spillway from the first four releases influenced the analysis of passage routes to the degree that passage route by release group was not constant through the entire season at Bonneville Dam (Mantel-Haenszel Chi-Square, P = 0.0031).  Kelts within the first four releases passed through the spillway in significantly greater proportions than kelts subsequently released.</w:t>
      </w:r>
    </w:p>
    <w:p w:rsidR="001B46BD" w:rsidRDefault="001B46BD">
      <w:pPr>
        <w:pStyle w:val="BodyTextIndent"/>
        <w:tabs>
          <w:tab w:val="left" w:pos="-720"/>
        </w:tabs>
        <w:spacing w:line="360" w:lineRule="auto"/>
        <w:ind w:firstLine="0"/>
        <w:jc w:val="center"/>
        <w:rPr>
          <w:b/>
          <w:caps/>
          <w:sz w:val="28"/>
          <w:u w:val="single"/>
        </w:rPr>
      </w:pPr>
    </w:p>
    <w:p w:rsidR="001B46BD" w:rsidRDefault="001B46BD">
      <w:pPr>
        <w:pStyle w:val="BodyTextIndent"/>
        <w:tabs>
          <w:tab w:val="left" w:pos="-720"/>
        </w:tabs>
        <w:spacing w:line="360" w:lineRule="auto"/>
        <w:ind w:firstLine="0"/>
        <w:jc w:val="center"/>
        <w:rPr>
          <w:b/>
          <w:caps/>
          <w:sz w:val="28"/>
          <w:u w:val="single"/>
        </w:rPr>
      </w:pPr>
    </w:p>
    <w:p w:rsidR="001B46BD" w:rsidRDefault="00575911">
      <w:pPr>
        <w:pStyle w:val="BodyTextIndent"/>
        <w:tabs>
          <w:tab w:val="left" w:pos="-720"/>
        </w:tabs>
        <w:spacing w:line="360" w:lineRule="auto"/>
        <w:ind w:firstLine="0"/>
        <w:jc w:val="center"/>
        <w:rPr>
          <w:b/>
          <w:caps/>
          <w:sz w:val="28"/>
          <w:u w:val="single"/>
        </w:rPr>
      </w:pPr>
      <w:r>
        <w:rPr>
          <w:b/>
          <w:caps/>
          <w:sz w:val="28"/>
          <w:u w:val="single"/>
        </w:rPr>
        <w:t>Project Summary and Discussion</w:t>
      </w:r>
    </w:p>
    <w:p w:rsidR="001B46BD" w:rsidRDefault="001B46BD">
      <w:pPr>
        <w:pStyle w:val="BodyTextIndent"/>
        <w:tabs>
          <w:tab w:val="left" w:pos="-720"/>
        </w:tabs>
        <w:spacing w:line="360" w:lineRule="auto"/>
        <w:ind w:firstLine="0"/>
        <w:jc w:val="center"/>
        <w:rPr>
          <w:b/>
          <w:sz w:val="28"/>
          <w:u w:val="single"/>
        </w:rPr>
      </w:pPr>
    </w:p>
    <w:p w:rsidR="001B46BD" w:rsidRDefault="00575911">
      <w:pPr>
        <w:pStyle w:val="BodyTextIndent"/>
        <w:spacing w:line="360" w:lineRule="auto"/>
      </w:pPr>
      <w:r>
        <w:t xml:space="preserve">Results from our study showed that </w:t>
      </w:r>
      <w:proofErr w:type="gramStart"/>
      <w:r>
        <w:t>kelt</w:t>
      </w:r>
      <w:proofErr w:type="gramEnd"/>
      <w:r>
        <w:t xml:space="preserve"> passage routes at Bonneville Dam in 2000 were primarily through turbine units and the spillway.  Roughly,</w:t>
      </w:r>
      <w:r>
        <w:rPr>
          <w:smallCaps/>
        </w:rPr>
        <w:t xml:space="preserve"> 47%</w:t>
      </w:r>
      <w:r>
        <w:t xml:space="preserve"> </w:t>
      </w:r>
      <w:r>
        <w:rPr>
          <w:smallCaps/>
        </w:rPr>
        <w:t>(66/139)</w:t>
      </w:r>
      <w:r>
        <w:t xml:space="preserve"> of kelts for which there are full passage records traveled through turbine units, and 40% (55/139) through the spillway (Table 2).  </w:t>
      </w:r>
    </w:p>
    <w:p w:rsidR="001B46BD" w:rsidRDefault="001B46BD">
      <w:pPr>
        <w:pStyle w:val="BodyTextIndent"/>
        <w:spacing w:line="360" w:lineRule="auto"/>
      </w:pPr>
    </w:p>
    <w:p w:rsidR="001B46BD" w:rsidRDefault="00575911">
      <w:pPr>
        <w:spacing w:line="360" w:lineRule="auto"/>
        <w:ind w:left="-720" w:firstLine="720"/>
      </w:pPr>
      <w:r>
        <w:t xml:space="preserve">The evaluation of the PSC at PH I showed good potential for surface flow bypass in routing kelts away from turbine units.  Of the kelts within the PH I forebay, 68% were contacted at the face of the PSC.  The majority of these kelts (80%) initially entered the PSC.  Once within the PSC test configuration, over two thirds (i.e., 67%) of </w:t>
      </w:r>
      <w:proofErr w:type="gramStart"/>
      <w:r>
        <w:t>kelts  (</w:t>
      </w:r>
      <w:proofErr w:type="gramEnd"/>
      <w:r>
        <w:t xml:space="preserve">20/30) passed through the dam.  However, many of these kelts (70%) passed through turbine units.  Kelt exit and reentrance </w:t>
      </w:r>
      <w:r>
        <w:lastRenderedPageBreak/>
        <w:t>behaviors resulted in low passage efficiency (i.e., 29% (20/68)) for the PSC.  As a true surface bypass or collector would probably entrain fishes through water velocities, or other means (e.g., guidance structures) passage efficiencies observed in 2000 are seen as an artifact of the testing configuration of the collector.  The PSC was a test structure designed for examining fish behavior and hydraulics at the entrances and not as a complete surface bypass system.</w:t>
      </w:r>
    </w:p>
    <w:p w:rsidR="001B46BD" w:rsidRDefault="001B46BD">
      <w:pPr>
        <w:pStyle w:val="BodyTextIndent"/>
        <w:spacing w:line="360" w:lineRule="auto"/>
      </w:pPr>
    </w:p>
    <w:p w:rsidR="001B46BD" w:rsidRDefault="00575911">
      <w:pPr>
        <w:pStyle w:val="BodyTextIndent"/>
        <w:spacing w:line="360" w:lineRule="auto"/>
      </w:pPr>
      <w:r>
        <w:t xml:space="preserve">In contrast to surface flow bypass, intake screen systems displayed poor efficacy in guiding kelts away from turbine units.  Nearly all of our kelts (79%) for which we have a specific passage route at the powerhouses migrated through the dam via turbine units.  Reasons for high rates of turbine passage are unknown.  Potentially, kelts may have actively sought out areas of high flow in searching for a passage route through turbine intakes, or been entrained by the higher water currents below screen systems.  Another plausible scenario is that kelts may have been guided into gatewells, and rejected passing through gatewell orifices into bypass systems.  That is, opted to sound through turbine intakes, rather than pass through gatewell orifices into bypass systems.  Small sample size seen at the ESBS of PH I give little information on the </w:t>
      </w:r>
      <w:proofErr w:type="gramStart"/>
      <w:r>
        <w:t>kelt</w:t>
      </w:r>
      <w:proofErr w:type="gramEnd"/>
      <w:r>
        <w:t xml:space="preserve"> guidance efficiencies of these structures.  Further work is needed to broaden our understanding of </w:t>
      </w:r>
      <w:proofErr w:type="gramStart"/>
      <w:r>
        <w:t>kelt</w:t>
      </w:r>
      <w:proofErr w:type="gramEnd"/>
      <w:r>
        <w:t xml:space="preserve"> passage behavior and the effects of turbine passage on kelt reproductive capacity.  </w:t>
      </w:r>
    </w:p>
    <w:p w:rsidR="001B46BD" w:rsidRDefault="001B46BD">
      <w:pPr>
        <w:pStyle w:val="BodyTextIndent"/>
        <w:spacing w:line="360" w:lineRule="auto"/>
      </w:pPr>
    </w:p>
    <w:p w:rsidR="001B46BD" w:rsidRDefault="00575911">
      <w:pPr>
        <w:pStyle w:val="BodyTextIndent"/>
        <w:spacing w:line="360" w:lineRule="auto"/>
        <w:rPr>
          <w:color w:val="FF0000"/>
        </w:rPr>
      </w:pPr>
      <w:r>
        <w:t xml:space="preserve">The majority (~80%) of kelts passed through the dam from the forebay area they initially entered.  Kelt ‘searching’ or ‘milling’ behaviors, as determined through lateral movements, prolonged forebay residence times at the powerhouses.  The PSC at PH I caused uncertainty in kelts, which was exhibited through entrance and exit behaviors.  These behaviors lengthened the passage times documented at the PSC, and resulted in PH I having the longest forebay residence times.  Despite the forebay residence times seen at PH I, the longest passage times were documented at PH II.  However, small sample sizes passing PH II, tends to bias these data.  Specifically, holding behaviors by some kelts below the PH II 3.5 km JBS tube, in areas both above and below the secondary dewatering structure  (separator bars), protracted PH II passage times (Table 2.). </w:t>
      </w:r>
    </w:p>
    <w:p w:rsidR="001B46BD" w:rsidRDefault="001B46BD">
      <w:pPr>
        <w:pStyle w:val="BodyTextIndent"/>
        <w:spacing w:line="360" w:lineRule="auto"/>
      </w:pPr>
    </w:p>
    <w:p w:rsidR="001B46BD" w:rsidRDefault="001B46BD">
      <w:pPr>
        <w:pStyle w:val="BodyTextIndent"/>
        <w:spacing w:line="360" w:lineRule="auto"/>
      </w:pPr>
    </w:p>
    <w:p w:rsidR="001B46BD" w:rsidRDefault="00575911">
      <w:pPr>
        <w:pStyle w:val="BodyTextIndent"/>
        <w:spacing w:line="360" w:lineRule="auto"/>
      </w:pPr>
      <w:r>
        <w:lastRenderedPageBreak/>
        <w:t xml:space="preserve">Passage route selection was not influenced by </w:t>
      </w:r>
      <w:proofErr w:type="gramStart"/>
      <w:r>
        <w:t>kelt</w:t>
      </w:r>
      <w:proofErr w:type="gramEnd"/>
      <w:r>
        <w:t xml:space="preserve"> origin or release location.  Data, from early in the passage season, suggests that low or moderate levels of spill may be effective for passing kelts.  Passage times through the spillway were significantly shorter than seen through any other route.  Though preliminary, these data suggest that spilling water may provide for the optimal passage route of kelts at Bonneville Dam.  Kelt passage proportions at the powerhouses and spillway (e.g., 39.5% PH I, 39.5% spillway, 21% PH II) reflect the hydro acoustic passage estimates of juvenile fishes in 2000 at Bonneville Dam (i.e., 34% PH I, 45% spillway, 21% PH II) (Ploskey et al. 2000).  Overall, passage proportions of kelts through forebay areas were also similar to passage proportions of telemetered steelhead smolts (i.e., 46% PH I, 35% spillway, 19% PH II).  However, telemetry data indicates that steelhead smolts were more effectively routed into bypass systems than kelts (i.e., 26% JBS, 20% ITS, 35% spillway, and 19% turbine units) (Evans et al. 2000).  These data compare to </w:t>
      </w:r>
      <w:proofErr w:type="gramStart"/>
      <w:r>
        <w:t>kelt</w:t>
      </w:r>
      <w:proofErr w:type="gramEnd"/>
      <w:r>
        <w:t xml:space="preserve"> passage distributions of 3% ITS, 8% JBS’, 40% spillway, and 47% turbine units.  Loss of detection capability of kelts traveling at underwater distances from telemetry </w:t>
      </w:r>
      <w:proofErr w:type="gramStart"/>
      <w:r>
        <w:t>arrays  (</w:t>
      </w:r>
      <w:proofErr w:type="gramEnd"/>
      <w:r>
        <w:t>&gt; 8 m) may indicate a good portion of kelts with partial passage histories also traveled through turbine units or the spillway.</w:t>
      </w:r>
    </w:p>
    <w:p w:rsidR="001B46BD" w:rsidRDefault="00575911">
      <w:pPr>
        <w:pStyle w:val="BodyTextIndent"/>
        <w:spacing w:line="360" w:lineRule="auto"/>
      </w:pPr>
      <w:r>
        <w:t xml:space="preserve">       </w:t>
      </w:r>
    </w:p>
    <w:p w:rsidR="001B46BD" w:rsidRDefault="00575911">
      <w:pPr>
        <w:pStyle w:val="BodyTextIndent"/>
        <w:spacing w:line="360" w:lineRule="auto"/>
        <w:rPr>
          <w:b/>
        </w:rPr>
      </w:pPr>
      <w:r>
        <w:t xml:space="preserve">While this study evaluated passage routes of kelts through radio-telemetry contacts, no conclusions on the passage success (survival) of kelts passing through the various routes are offered.  Further evaluation is needed to understand the effects of turbine and spillway passage on </w:t>
      </w:r>
      <w:proofErr w:type="gramStart"/>
      <w:r>
        <w:t>kelt</w:t>
      </w:r>
      <w:proofErr w:type="gramEnd"/>
      <w:r>
        <w:t xml:space="preserve"> in-river survival, and subsequent reproductive capacity.  </w:t>
      </w:r>
    </w:p>
    <w:p w:rsidR="001B46BD" w:rsidRDefault="001B46BD">
      <w:pPr>
        <w:pStyle w:val="BodyTextIndent"/>
        <w:jc w:val="center"/>
        <w:rPr>
          <w:b/>
          <w:caps/>
          <w:sz w:val="28"/>
          <w:u w:val="single"/>
        </w:rPr>
      </w:pPr>
    </w:p>
    <w:p w:rsidR="001B46BD" w:rsidRDefault="001B46BD">
      <w:pPr>
        <w:pStyle w:val="BodyTextIndent"/>
        <w:jc w:val="center"/>
        <w:rPr>
          <w:b/>
          <w:caps/>
          <w:sz w:val="28"/>
          <w:u w:val="single"/>
        </w:rPr>
      </w:pPr>
    </w:p>
    <w:p w:rsidR="001B46BD" w:rsidRDefault="00575911">
      <w:pPr>
        <w:pStyle w:val="BodyTextIndent"/>
        <w:jc w:val="center"/>
        <w:rPr>
          <w:b/>
          <w:caps/>
          <w:sz w:val="28"/>
          <w:u w:val="single"/>
        </w:rPr>
      </w:pPr>
      <w:r>
        <w:rPr>
          <w:b/>
          <w:caps/>
          <w:sz w:val="28"/>
          <w:u w:val="single"/>
        </w:rPr>
        <w:t>Acknowledgements</w:t>
      </w:r>
    </w:p>
    <w:p w:rsidR="001B46BD" w:rsidRDefault="001B46BD">
      <w:pPr>
        <w:pStyle w:val="BodyTextIndent"/>
        <w:jc w:val="center"/>
        <w:rPr>
          <w:b/>
          <w:caps/>
          <w:sz w:val="28"/>
          <w:u w:val="single"/>
        </w:rPr>
      </w:pPr>
    </w:p>
    <w:p w:rsidR="001B46BD" w:rsidRDefault="001B46BD">
      <w:pPr>
        <w:pStyle w:val="BodyTextIndent"/>
        <w:jc w:val="center"/>
        <w:rPr>
          <w:b/>
        </w:rPr>
      </w:pPr>
    </w:p>
    <w:p w:rsidR="001B46BD" w:rsidRDefault="00575911">
      <w:pPr>
        <w:pStyle w:val="BodyTextIndent"/>
        <w:spacing w:line="360" w:lineRule="auto"/>
      </w:pPr>
      <w:r>
        <w:t xml:space="preserve">Many people from a variety of Federal, State, Academic, and Native American agencies assisted in the field aspects and data compilation for this study.  Mike Langeslay of the Corps of Engineers was the project officer.  Roy Beaty, Allen Evans, Scott Evans, Mike Jonas, Alicia Matter, Robert Stansell, and Ken Tolloti all provided notable and necessary contributions for obtaining the described results.  As well, we appreciated the support from the staffs of Lower Granite and Little Goose dams.  The cover picture was photographed by Bill Johnson, June 9, 1998, downloaded from the USACE Digital Visual Library. </w:t>
      </w:r>
    </w:p>
    <w:p w:rsidR="001B46BD" w:rsidRDefault="00575911">
      <w:pPr>
        <w:pStyle w:val="BodyTextIndent"/>
        <w:tabs>
          <w:tab w:val="left" w:pos="-720"/>
        </w:tabs>
        <w:spacing w:line="360" w:lineRule="auto"/>
        <w:ind w:firstLine="0"/>
        <w:jc w:val="center"/>
        <w:rPr>
          <w:b/>
          <w:sz w:val="28"/>
          <w:u w:val="single"/>
        </w:rPr>
      </w:pPr>
      <w:r>
        <w:rPr>
          <w:b/>
          <w:caps/>
          <w:sz w:val="28"/>
          <w:u w:val="single"/>
        </w:rPr>
        <w:lastRenderedPageBreak/>
        <w:t>References</w:t>
      </w:r>
    </w:p>
    <w:p w:rsidR="001B46BD" w:rsidRDefault="001B46BD">
      <w:pPr>
        <w:pStyle w:val="BodyTextIndent"/>
        <w:tabs>
          <w:tab w:val="left" w:pos="-720"/>
        </w:tabs>
        <w:spacing w:line="360" w:lineRule="auto"/>
        <w:ind w:firstLine="0"/>
        <w:jc w:val="center"/>
        <w:rPr>
          <w:b/>
          <w:smallCaps/>
        </w:rPr>
      </w:pPr>
    </w:p>
    <w:p w:rsidR="001B46BD" w:rsidRDefault="00575911">
      <w:pPr>
        <w:ind w:hanging="720"/>
        <w:rPr>
          <w:snapToGrid w:val="0"/>
        </w:rPr>
      </w:pPr>
      <w:proofErr w:type="gramStart"/>
      <w:r>
        <w:rPr>
          <w:snapToGrid w:val="0"/>
        </w:rPr>
        <w:t>Arkush, K.D., and N.A. Petervary.</w:t>
      </w:r>
      <w:proofErr w:type="gramEnd"/>
      <w:r>
        <w:rPr>
          <w:snapToGrid w:val="0"/>
        </w:rPr>
        <w:t xml:space="preserve">  1998.  The use of ultrasonography to predict reproductive development in salmonid fish</w:t>
      </w:r>
      <w:proofErr w:type="gramStart"/>
      <w:r>
        <w:rPr>
          <w:snapToGrid w:val="0"/>
        </w:rPr>
        <w:t xml:space="preserve">. </w:t>
      </w:r>
      <w:proofErr w:type="gramEnd"/>
      <w:r>
        <w:rPr>
          <w:snapToGrid w:val="0"/>
        </w:rPr>
        <w:t>International Association for Aquatic Animal Medicine</w:t>
      </w:r>
      <w:proofErr w:type="gramStart"/>
      <w:r>
        <w:rPr>
          <w:snapToGrid w:val="0"/>
        </w:rPr>
        <w:t xml:space="preserve">. </w:t>
      </w:r>
      <w:proofErr w:type="gramEnd"/>
      <w:r>
        <w:rPr>
          <w:snapToGrid w:val="0"/>
        </w:rPr>
        <w:t>29:19-20.</w:t>
      </w:r>
    </w:p>
    <w:p w:rsidR="001B46BD" w:rsidRDefault="001B46BD">
      <w:pPr>
        <w:ind w:hanging="720"/>
        <w:rPr>
          <w:snapToGrid w:val="0"/>
        </w:rPr>
      </w:pPr>
    </w:p>
    <w:p w:rsidR="001B46BD" w:rsidRDefault="00575911">
      <w:pPr>
        <w:ind w:hanging="720"/>
      </w:pPr>
      <w:proofErr w:type="gramStart"/>
      <w:r>
        <w:t>Blythe, B., L.A. Helfrich, W.E. Beal, B. Boswarth, and G.S. Libey.</w:t>
      </w:r>
      <w:proofErr w:type="gramEnd"/>
      <w:r>
        <w:t xml:space="preserve">  1994.  Determination of sex and maturational status of striped bass (</w:t>
      </w:r>
      <w:r>
        <w:rPr>
          <w:i/>
        </w:rPr>
        <w:t>Morone saxatilis</w:t>
      </w:r>
      <w:r>
        <w:t>) using ultrasonic imaging.  Aquaculture 125:175-184.</w:t>
      </w:r>
    </w:p>
    <w:p w:rsidR="001B46BD" w:rsidRDefault="001B46BD">
      <w:pPr>
        <w:tabs>
          <w:tab w:val="left" w:pos="-720"/>
          <w:tab w:val="left" w:pos="360"/>
          <w:tab w:val="num" w:pos="1080"/>
        </w:tabs>
        <w:spacing w:line="360" w:lineRule="auto"/>
        <w:ind w:hanging="720"/>
        <w:jc w:val="both"/>
      </w:pPr>
    </w:p>
    <w:p w:rsidR="001B46BD" w:rsidRDefault="00575911">
      <w:pPr>
        <w:pStyle w:val="BodyTextIndent3"/>
        <w:spacing w:line="240" w:lineRule="auto"/>
      </w:pPr>
      <w:proofErr w:type="gramStart"/>
      <w:r>
        <w:t>Brown, R.S., S.J. Cook, W.G. Anderson, and R.S. McKinley.</w:t>
      </w:r>
      <w:proofErr w:type="gramEnd"/>
      <w:r>
        <w:t xml:space="preserve">  1999.  Evidence to Challenge the “2% Rule” for Biotelemetry</w:t>
      </w:r>
      <w:proofErr w:type="gramStart"/>
      <w:r>
        <w:t xml:space="preserve">.   </w:t>
      </w:r>
      <w:proofErr w:type="gramEnd"/>
      <w:r>
        <w:t xml:space="preserve">North American Journal of Fisheries </w:t>
      </w:r>
      <w:proofErr w:type="gramStart"/>
      <w:r>
        <w:t>Management  19:867</w:t>
      </w:r>
      <w:proofErr w:type="gramEnd"/>
      <w:r>
        <w:t>-871.</w:t>
      </w:r>
    </w:p>
    <w:p w:rsidR="001B46BD" w:rsidRDefault="001B46BD">
      <w:pPr>
        <w:pStyle w:val="BodyTextIndent3"/>
        <w:spacing w:line="240" w:lineRule="auto"/>
      </w:pPr>
    </w:p>
    <w:p w:rsidR="001B46BD" w:rsidRDefault="00575911">
      <w:pPr>
        <w:pStyle w:val="BodyTextIndent3"/>
        <w:spacing w:line="240" w:lineRule="auto"/>
      </w:pPr>
      <w:proofErr w:type="gramStart"/>
      <w:r>
        <w:t>Evans, A.F., and R.E. Beaty.</w:t>
      </w:r>
      <w:proofErr w:type="gramEnd"/>
      <w:r>
        <w:t xml:space="preserve">  2000.  Identification and enumeration of steelhead </w:t>
      </w:r>
      <w:r>
        <w:rPr>
          <w:i/>
        </w:rPr>
        <w:t>(Oncorhynchus mykiss)</w:t>
      </w:r>
      <w:r>
        <w:t xml:space="preserve"> kelts in the juvenile collection systems at Lower Granite and Little Goose dams, 2000.  </w:t>
      </w:r>
      <w:proofErr w:type="gramStart"/>
      <w:r>
        <w:rPr>
          <w:i/>
        </w:rPr>
        <w:t>In</w:t>
      </w:r>
      <w:r>
        <w:t xml:space="preserve"> U.S. Army Corps of Engineers</w:t>
      </w:r>
      <w:r>
        <w:rPr>
          <w:i/>
        </w:rPr>
        <w:t>.</w:t>
      </w:r>
      <w:proofErr w:type="gramEnd"/>
      <w:r>
        <w:rPr>
          <w:i/>
        </w:rPr>
        <w:t xml:space="preserve">  </w:t>
      </w:r>
      <w:r>
        <w:t xml:space="preserve">Anadromous fish evaluation program: 2000 annual research review.  </w:t>
      </w:r>
      <w:proofErr w:type="gramStart"/>
      <w:r>
        <w:t>Portland District, Portland, Oregon, and Walla Walla District, Walla Walla, Washington.</w:t>
      </w:r>
      <w:proofErr w:type="gramEnd"/>
    </w:p>
    <w:p w:rsidR="001B46BD" w:rsidRDefault="001B46BD">
      <w:pPr>
        <w:pStyle w:val="BodyTextIndent3"/>
        <w:spacing w:line="240" w:lineRule="auto"/>
      </w:pPr>
    </w:p>
    <w:p w:rsidR="001B46BD" w:rsidRDefault="00575911">
      <w:pPr>
        <w:pStyle w:val="BodyTextIndent3"/>
        <w:spacing w:line="240" w:lineRule="auto"/>
      </w:pPr>
      <w:r>
        <w:t>Evans, S., J. Plumb, M. Novick, N. Adams, and D. Rondorf.  Preliminary 2000</w:t>
      </w:r>
      <w:proofErr w:type="gramStart"/>
      <w:r>
        <w:t xml:space="preserve">. </w:t>
      </w:r>
      <w:proofErr w:type="gramEnd"/>
      <w:r>
        <w:t xml:space="preserve">Movement and behavior of radio-tagged juvenile hatchery </w:t>
      </w:r>
      <w:proofErr w:type="gramStart"/>
      <w:r>
        <w:t>chinook</w:t>
      </w:r>
      <w:proofErr w:type="gramEnd"/>
      <w:r>
        <w:t xml:space="preserve"> salmon and juvenile hatchery steelhead in the forebay of Bonneville Dam.  </w:t>
      </w:r>
      <w:proofErr w:type="gramStart"/>
      <w:r>
        <w:t>Annual report of research, U.S. Army Corps of Engineers, Portland District, Portland, Oregon, USA.</w:t>
      </w:r>
      <w:proofErr w:type="gramEnd"/>
      <w:r>
        <w:t xml:space="preserve"> </w:t>
      </w:r>
    </w:p>
    <w:p w:rsidR="001B46BD" w:rsidRDefault="001B46BD">
      <w:pPr>
        <w:pStyle w:val="BodyTextIndent3"/>
      </w:pPr>
    </w:p>
    <w:p w:rsidR="001B46BD" w:rsidRDefault="00575911">
      <w:pPr>
        <w:pStyle w:val="BodyTextIndent3"/>
        <w:spacing w:line="240" w:lineRule="auto"/>
        <w:rPr>
          <w:i/>
        </w:rPr>
      </w:pPr>
      <w:r>
        <w:t>ISG (Independent Science Group).  1996.  Return to the river: restoration of salmonid fishes in the Columbia River ecosystem</w:t>
      </w:r>
      <w:proofErr w:type="gramStart"/>
      <w:r>
        <w:t>. ISG, Report 96-6, for Northwest Power Planning Council, Portland, Oregon.</w:t>
      </w:r>
      <w:proofErr w:type="gramEnd"/>
    </w:p>
    <w:p w:rsidR="001B46BD" w:rsidRDefault="001B46BD">
      <w:pPr>
        <w:pStyle w:val="BodyTextIndent3"/>
        <w:spacing w:line="240" w:lineRule="auto"/>
      </w:pPr>
    </w:p>
    <w:p w:rsidR="001B46BD" w:rsidRDefault="00575911">
      <w:pPr>
        <w:pStyle w:val="BodyTextIndent3"/>
        <w:spacing w:line="240" w:lineRule="auto"/>
      </w:pPr>
      <w:proofErr w:type="gramStart"/>
      <w:r>
        <w:t>Kelly, J.E., and N.S. Adams.</w:t>
      </w:r>
      <w:proofErr w:type="gramEnd"/>
      <w:r>
        <w:t xml:space="preserve">  1996.  Range tests on radio tags considered for use in Lower Granite Reservoir, Washington.  </w:t>
      </w:r>
      <w:proofErr w:type="gramStart"/>
      <w:r>
        <w:t xml:space="preserve">Pages 14-29 </w:t>
      </w:r>
      <w:r>
        <w:rPr>
          <w:i/>
          <w:iCs/>
        </w:rPr>
        <w:t xml:space="preserve">in </w:t>
      </w:r>
      <w:r>
        <w:t>D.W. Rondorf and M. J. Banach editors.</w:t>
      </w:r>
      <w:proofErr w:type="gramEnd"/>
    </w:p>
    <w:p w:rsidR="001B46BD" w:rsidRDefault="00575911">
      <w:pPr>
        <w:pStyle w:val="BodyTextIndent3"/>
        <w:spacing w:line="240" w:lineRule="auto"/>
      </w:pPr>
      <w:r>
        <w:tab/>
        <w:t>Migrational characteristics of juvenile spring Chinook salmon and steelhead in lower Granite Reservoir and tributaries, Snake River</w:t>
      </w:r>
      <w:proofErr w:type="gramStart"/>
      <w:r>
        <w:t xml:space="preserve">. </w:t>
      </w:r>
      <w:proofErr w:type="gramEnd"/>
      <w:r>
        <w:t>Report to U.S. Army Corps of Engineers, Contract E 86930151, Walla Walla, Washington.</w:t>
      </w:r>
    </w:p>
    <w:p w:rsidR="001B46BD" w:rsidRDefault="001B46BD">
      <w:pPr>
        <w:ind w:hanging="720"/>
        <w:rPr>
          <w:snapToGrid w:val="0"/>
        </w:rPr>
      </w:pPr>
    </w:p>
    <w:p w:rsidR="001B46BD" w:rsidRDefault="00575911">
      <w:pPr>
        <w:pStyle w:val="BodyTextIndent3"/>
        <w:tabs>
          <w:tab w:val="clear" w:pos="-720"/>
          <w:tab w:val="clear" w:pos="360"/>
          <w:tab w:val="clear" w:pos="1080"/>
        </w:tabs>
        <w:spacing w:line="240" w:lineRule="auto"/>
        <w:rPr>
          <w:snapToGrid w:val="0"/>
        </w:rPr>
      </w:pPr>
      <w:proofErr w:type="gramStart"/>
      <w:r>
        <w:rPr>
          <w:snapToGrid w:val="0"/>
        </w:rPr>
        <w:t>Martin, R.W., J.Myers, S.A. Sower, D.J. Phillips, and C. McAuley.</w:t>
      </w:r>
      <w:proofErr w:type="gramEnd"/>
      <w:r>
        <w:rPr>
          <w:snapToGrid w:val="0"/>
        </w:rPr>
        <w:t xml:space="preserve">  1983.  Ultrasonic imaging, a potential tool for sex determination of live fish.  North American Journal of Fisheries Management 3:258-264.</w:t>
      </w:r>
    </w:p>
    <w:p w:rsidR="001B46BD" w:rsidRDefault="001B46BD">
      <w:pPr>
        <w:pStyle w:val="BodyTextIndent3"/>
      </w:pPr>
    </w:p>
    <w:p w:rsidR="001B46BD" w:rsidRDefault="00575911">
      <w:pPr>
        <w:pStyle w:val="BodyTextIndent3"/>
        <w:spacing w:line="240" w:lineRule="auto"/>
      </w:pPr>
      <w:proofErr w:type="gramStart"/>
      <w:r>
        <w:t>NMFS (National Marine Fisheries Service).</w:t>
      </w:r>
      <w:proofErr w:type="gramEnd"/>
      <w:r>
        <w:t xml:space="preserve">  1998.  Supplemental Biological Opinion</w:t>
      </w:r>
      <w:proofErr w:type="gramStart"/>
      <w:r>
        <w:t>.   NMFS Northwest Region.</w:t>
      </w:r>
      <w:proofErr w:type="gramEnd"/>
      <w:r>
        <w:t xml:space="preserve">  Seattle, WA.</w:t>
      </w:r>
    </w:p>
    <w:p w:rsidR="001B46BD" w:rsidRDefault="001B46BD">
      <w:pPr>
        <w:pStyle w:val="BodyTextIndent"/>
        <w:ind w:firstLine="0"/>
      </w:pPr>
    </w:p>
    <w:p w:rsidR="001B46BD" w:rsidRDefault="001B46BD">
      <w:pPr>
        <w:pStyle w:val="BodyTextIndent"/>
        <w:ind w:firstLine="0"/>
      </w:pPr>
    </w:p>
    <w:p w:rsidR="001B46BD" w:rsidRDefault="001B46BD">
      <w:pPr>
        <w:pStyle w:val="BodyTextIndent"/>
        <w:ind w:firstLine="0"/>
      </w:pPr>
    </w:p>
    <w:p w:rsidR="001B46BD" w:rsidRDefault="00575911">
      <w:pPr>
        <w:pStyle w:val="BodyTextIndent"/>
        <w:ind w:firstLine="0"/>
      </w:pPr>
      <w:r>
        <w:lastRenderedPageBreak/>
        <w:t>NMFS</w:t>
      </w:r>
      <w:proofErr w:type="gramStart"/>
      <w:r>
        <w:t>. (National Marine Fisheries Service) 2000.</w:t>
      </w:r>
      <w:proofErr w:type="gramEnd"/>
      <w:r>
        <w:t xml:space="preserve">  Biological Opinion</w:t>
      </w:r>
      <w:proofErr w:type="gramStart"/>
      <w:r>
        <w:t xml:space="preserve">.   </w:t>
      </w:r>
      <w:proofErr w:type="gramEnd"/>
      <w:r>
        <w:t xml:space="preserve">NMFS, Northwest </w:t>
      </w:r>
    </w:p>
    <w:p w:rsidR="001B46BD" w:rsidRDefault="00575911">
      <w:pPr>
        <w:pStyle w:val="BodyTextIndent"/>
        <w:ind w:firstLine="0"/>
      </w:pPr>
      <w:r>
        <w:t xml:space="preserve">            </w:t>
      </w:r>
      <w:proofErr w:type="gramStart"/>
      <w:r>
        <w:t>Region.</w:t>
      </w:r>
      <w:proofErr w:type="gramEnd"/>
      <w:r>
        <w:t xml:space="preserve">  Seattle, WA.</w:t>
      </w:r>
    </w:p>
    <w:p w:rsidR="001B46BD" w:rsidRDefault="001B46BD">
      <w:pPr>
        <w:pStyle w:val="BodyTextIndent"/>
        <w:ind w:firstLine="0"/>
      </w:pPr>
    </w:p>
    <w:p w:rsidR="001B46BD" w:rsidRDefault="00575911">
      <w:pPr>
        <w:pStyle w:val="BodyTextIndent"/>
        <w:ind w:firstLine="0"/>
      </w:pPr>
      <w:proofErr w:type="gramStart"/>
      <w:r>
        <w:t>NWPPC (Northwest Power Planning Council).</w:t>
      </w:r>
      <w:proofErr w:type="gramEnd"/>
      <w:r>
        <w:t xml:space="preserve">  1986.  Compilation of information on salmon </w:t>
      </w:r>
    </w:p>
    <w:p w:rsidR="001B46BD" w:rsidRDefault="00575911">
      <w:pPr>
        <w:pStyle w:val="BodyTextIndent"/>
        <w:ind w:firstLine="0"/>
      </w:pPr>
      <w:r>
        <w:t xml:space="preserve">            </w:t>
      </w:r>
      <w:proofErr w:type="gramStart"/>
      <w:r>
        <w:t>and</w:t>
      </w:r>
      <w:proofErr w:type="gramEnd"/>
      <w:r>
        <w:t xml:space="preserve"> steelhead losses In the Columbia River basin.  Appendix D </w:t>
      </w:r>
      <w:proofErr w:type="gramStart"/>
      <w:r>
        <w:rPr>
          <w:i/>
        </w:rPr>
        <w:t>In</w:t>
      </w:r>
      <w:proofErr w:type="gramEnd"/>
      <w:r>
        <w:rPr>
          <w:i/>
        </w:rPr>
        <w:t xml:space="preserve"> </w:t>
      </w:r>
      <w:r>
        <w:t xml:space="preserve">1987 Columbia River </w:t>
      </w:r>
    </w:p>
    <w:p w:rsidR="001B46BD" w:rsidRDefault="00575911">
      <w:pPr>
        <w:pStyle w:val="BodyTextIndent"/>
        <w:spacing w:line="360" w:lineRule="auto"/>
        <w:ind w:firstLine="0"/>
      </w:pPr>
      <w:r>
        <w:t xml:space="preserve">            </w:t>
      </w:r>
      <w:proofErr w:type="gramStart"/>
      <w:r>
        <w:t>basin</w:t>
      </w:r>
      <w:proofErr w:type="gramEnd"/>
      <w:r>
        <w:t xml:space="preserve"> fish and wildlife program.  NWPCC, Portland, Oregon</w:t>
      </w:r>
      <w:proofErr w:type="gramStart"/>
      <w:r>
        <w:t>. March.</w:t>
      </w:r>
      <w:proofErr w:type="gramEnd"/>
    </w:p>
    <w:p w:rsidR="001B46BD" w:rsidRDefault="001B46BD">
      <w:pPr>
        <w:pStyle w:val="BodyTextIndent"/>
        <w:ind w:firstLine="0"/>
      </w:pPr>
    </w:p>
    <w:p w:rsidR="001B46BD" w:rsidRDefault="00575911">
      <w:pPr>
        <w:pStyle w:val="BodyTextIndent"/>
        <w:ind w:firstLine="0"/>
      </w:pPr>
      <w:proofErr w:type="gramStart"/>
      <w:r>
        <w:t>Ploskey, G. R., and 7 co-authors.</w:t>
      </w:r>
      <w:proofErr w:type="gramEnd"/>
      <w:r>
        <w:t xml:space="preserve">  2000.  Hydroacoustic evaluation of a prototype surface   </w:t>
      </w:r>
    </w:p>
    <w:p w:rsidR="001B46BD" w:rsidRDefault="00575911">
      <w:pPr>
        <w:pStyle w:val="BodyTextIndent"/>
        <w:ind w:left="0" w:firstLine="0"/>
      </w:pPr>
      <w:proofErr w:type="gramStart"/>
      <w:r>
        <w:t>collector</w:t>
      </w:r>
      <w:proofErr w:type="gramEnd"/>
      <w:r>
        <w:t xml:space="preserve"> at Bonneville  Dam first powerhouse, in 2000.  </w:t>
      </w:r>
      <w:proofErr w:type="gramStart"/>
      <w:r>
        <w:rPr>
          <w:i/>
        </w:rPr>
        <w:t xml:space="preserve">In </w:t>
      </w:r>
      <w:r>
        <w:t>U.S. Army Corps of Engineers.</w:t>
      </w:r>
      <w:proofErr w:type="gramEnd"/>
      <w:r>
        <w:t xml:space="preserve">  Anadromous fish evaluation program: 2000 annual research review.  </w:t>
      </w:r>
      <w:proofErr w:type="gramStart"/>
      <w:r>
        <w:t>Portland District, Portland Oregon, and Walla Walla District, Walla Walla Washington.</w:t>
      </w:r>
      <w:proofErr w:type="gramEnd"/>
      <w:r>
        <w:t xml:space="preserve"> </w:t>
      </w:r>
    </w:p>
    <w:p w:rsidR="001B46BD" w:rsidRDefault="001B46BD">
      <w:pPr>
        <w:ind w:hanging="720"/>
      </w:pPr>
    </w:p>
    <w:p w:rsidR="001B46BD" w:rsidRDefault="00575911">
      <w:pPr>
        <w:ind w:hanging="720"/>
      </w:pPr>
      <w:proofErr w:type="gramStart"/>
      <w:r>
        <w:t>Reimers E., P. Landmark, T. Sorsdal, E. Bohmer, and T. Solum.</w:t>
      </w:r>
      <w:proofErr w:type="gramEnd"/>
      <w:r>
        <w:t xml:space="preserve">  1987.  Determination of salmonids' sex, maturation and size:  an ultrasound and photocell approach.  </w:t>
      </w:r>
      <w:proofErr w:type="gramStart"/>
      <w:r>
        <w:t>Aquaculture Magazine.</w:t>
      </w:r>
      <w:proofErr w:type="gramEnd"/>
      <w:r>
        <w:t xml:space="preserve">  </w:t>
      </w:r>
      <w:proofErr w:type="gramStart"/>
      <w:r>
        <w:t>November/December pp. 41-44.</w:t>
      </w:r>
      <w:proofErr w:type="gramEnd"/>
    </w:p>
    <w:p w:rsidR="001B46BD" w:rsidRDefault="001B46BD">
      <w:pPr>
        <w:ind w:hanging="720"/>
      </w:pPr>
    </w:p>
    <w:p w:rsidR="001B46BD" w:rsidRDefault="00575911">
      <w:pPr>
        <w:ind w:hanging="720"/>
        <w:rPr>
          <w:snapToGrid w:val="0"/>
        </w:rPr>
      </w:pPr>
      <w:r>
        <w:rPr>
          <w:snapToGrid w:val="0"/>
        </w:rPr>
        <w:t xml:space="preserve">Shields R.J., J Davenport, C. Young and P.L. Smith.  1993.  Oocyte maturation and ovulation in the Atlantic halibut, </w:t>
      </w:r>
      <w:r>
        <w:rPr>
          <w:i/>
          <w:snapToGrid w:val="0"/>
        </w:rPr>
        <w:t>Hippoglossus hippoglossus</w:t>
      </w:r>
      <w:r>
        <w:rPr>
          <w:snapToGrid w:val="0"/>
        </w:rPr>
        <w:t xml:space="preserve"> (L.), examined using ultrasonography.  Aquaculture and Fisheries Management</w:t>
      </w:r>
      <w:proofErr w:type="gramStart"/>
      <w:r>
        <w:rPr>
          <w:snapToGrid w:val="0"/>
        </w:rPr>
        <w:t xml:space="preserve">. </w:t>
      </w:r>
      <w:proofErr w:type="gramEnd"/>
      <w:r>
        <w:rPr>
          <w:snapToGrid w:val="0"/>
        </w:rPr>
        <w:t>24: 181-186.</w:t>
      </w:r>
    </w:p>
    <w:p w:rsidR="001B46BD" w:rsidRDefault="001B46BD">
      <w:pPr>
        <w:pStyle w:val="BodyTextIndent"/>
        <w:spacing w:line="360" w:lineRule="auto"/>
        <w:ind w:firstLine="0"/>
      </w:pPr>
    </w:p>
    <w:p w:rsidR="001B46BD" w:rsidRDefault="00575911">
      <w:pPr>
        <w:pStyle w:val="BodyTextIndent"/>
        <w:ind w:firstLine="0"/>
      </w:pPr>
      <w:r>
        <w:t>U.S. v. Oregon</w:t>
      </w:r>
      <w:proofErr w:type="gramStart"/>
      <w:r>
        <w:t xml:space="preserve">. </w:t>
      </w:r>
      <w:proofErr w:type="gramEnd"/>
      <w:r>
        <w:t xml:space="preserve">1997.  1996 all species review, Columbia River fish management plan. </w:t>
      </w:r>
    </w:p>
    <w:p w:rsidR="001B46BD" w:rsidRDefault="00575911">
      <w:pPr>
        <w:pStyle w:val="BodyTextIndent"/>
        <w:ind w:firstLine="0"/>
      </w:pPr>
      <w:r>
        <w:tab/>
        <w:t>Technical Advisory Committee</w:t>
      </w:r>
      <w:proofErr w:type="gramStart"/>
      <w:r>
        <w:t xml:space="preserve">. </w:t>
      </w:r>
      <w:proofErr w:type="gramEnd"/>
      <w:r>
        <w:t>Portland, OR.</w:t>
      </w:r>
    </w:p>
    <w:p w:rsidR="001B46BD" w:rsidRDefault="001B46BD">
      <w:pPr>
        <w:pStyle w:val="BodyTextIndent"/>
        <w:ind w:firstLine="0"/>
      </w:pPr>
    </w:p>
    <w:p w:rsidR="001B46BD" w:rsidRDefault="00575911">
      <w:pPr>
        <w:tabs>
          <w:tab w:val="left" w:pos="0"/>
          <w:tab w:val="num" w:pos="1080"/>
        </w:tabs>
        <w:ind w:hanging="720"/>
      </w:pPr>
      <w:proofErr w:type="gramStart"/>
      <w:r>
        <w:t>Withler I. L. 1966.</w:t>
      </w:r>
      <w:proofErr w:type="gramEnd"/>
      <w:r>
        <w:t xml:space="preserve">  Variability in life history characteristics of steelhead trout (Salmo Gairdneri) along the Pacific Coast of North America</w:t>
      </w:r>
      <w:proofErr w:type="gramStart"/>
      <w:r>
        <w:t xml:space="preserve">. </w:t>
      </w:r>
      <w:proofErr w:type="gramEnd"/>
      <w:r>
        <w:t>Journal of the Fisheries Research Board of Canada 23: 365-393.</w:t>
      </w:r>
    </w:p>
    <w:p w:rsidR="001B46BD" w:rsidRDefault="001B46BD">
      <w:pPr>
        <w:pStyle w:val="BodyText"/>
        <w:ind w:left="-720"/>
      </w:pPr>
    </w:p>
    <w:p w:rsidR="001B46BD" w:rsidRDefault="00575911">
      <w:pPr>
        <w:pStyle w:val="BodyText"/>
        <w:ind w:left="-720"/>
      </w:pPr>
      <w:r>
        <w:t>Zar, J.H.  1996.  Biostatistical Analysis.  Prentice Hall, Inc. Englewood Cliffs, New Jersey.</w:t>
      </w:r>
    </w:p>
    <w:p w:rsidR="001B46BD" w:rsidRDefault="001B46BD">
      <w:pPr>
        <w:pStyle w:val="BodyTextIndent"/>
        <w:spacing w:line="360" w:lineRule="auto"/>
        <w:ind w:firstLine="0"/>
        <w:sectPr w:rsidR="001B46BD">
          <w:headerReference w:type="default" r:id="rId15"/>
          <w:footerReference w:type="default" r:id="rId16"/>
          <w:footerReference w:type="first" r:id="rId17"/>
          <w:type w:val="nextColumn"/>
          <w:pgSz w:w="12240" w:h="15840" w:code="1"/>
          <w:pgMar w:top="1440" w:right="1800" w:bottom="1440" w:left="1800" w:header="720" w:footer="720" w:gutter="0"/>
          <w:pgNumType w:start="1"/>
          <w:cols w:space="720"/>
          <w:titlePg/>
          <w:docGrid w:linePitch="360"/>
        </w:sectPr>
      </w:pPr>
    </w:p>
    <w:p w:rsidR="001B46BD" w:rsidRDefault="00575911">
      <w:pPr>
        <w:pStyle w:val="BodyText"/>
        <w:tabs>
          <w:tab w:val="left" w:pos="1620"/>
          <w:tab w:val="left" w:pos="8298"/>
        </w:tabs>
      </w:pPr>
      <w:proofErr w:type="gramStart"/>
      <w:r>
        <w:lastRenderedPageBreak/>
        <w:t>Table 1.</w:t>
      </w:r>
      <w:proofErr w:type="gramEnd"/>
      <w:r>
        <w:t xml:space="preserve">  Summary of the date, collection location, sample size (N), mean, standard deviation (SD) and range of the fork length (cm), sex, lineage, release location and time of release of the radio-tagged steelhead kelts in 2000.  Of these transported and released kelts, the number contacted at Bonneville (PH II, spillway, PH I), the number of full path kelts (forebay, juvenile bypass system, tailrace, and/or exit), and the passage distribution. </w:t>
      </w:r>
    </w:p>
    <w:p w:rsidR="001B46BD" w:rsidRDefault="001B46BD">
      <w:pPr>
        <w:pStyle w:val="BodyText"/>
        <w:tabs>
          <w:tab w:val="left" w:pos="1980"/>
          <w:tab w:val="left" w:pos="9900"/>
        </w:tabs>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8"/>
        <w:gridCol w:w="640"/>
        <w:gridCol w:w="810"/>
        <w:gridCol w:w="810"/>
        <w:gridCol w:w="1260"/>
        <w:gridCol w:w="413"/>
        <w:gridCol w:w="540"/>
        <w:gridCol w:w="603"/>
        <w:gridCol w:w="567"/>
        <w:gridCol w:w="577"/>
        <w:gridCol w:w="1260"/>
        <w:gridCol w:w="972"/>
        <w:gridCol w:w="828"/>
        <w:gridCol w:w="667"/>
        <w:gridCol w:w="818"/>
        <w:gridCol w:w="675"/>
      </w:tblGrid>
      <w:tr w:rsidR="001B46BD">
        <w:trPr>
          <w:cantSplit/>
          <w:trHeight w:val="503"/>
        </w:trPr>
        <w:tc>
          <w:tcPr>
            <w:tcW w:w="1448" w:type="dxa"/>
            <w:tcBorders>
              <w:top w:val="nil"/>
              <w:left w:val="nil"/>
              <w:bottom w:val="nil"/>
              <w:right w:val="nil"/>
            </w:tcBorders>
            <w:vAlign w:val="center"/>
          </w:tcPr>
          <w:p w:rsidR="001B46BD" w:rsidRDefault="00575911">
            <w:pPr>
              <w:pStyle w:val="BodyText"/>
              <w:tabs>
                <w:tab w:val="left" w:pos="9900"/>
              </w:tabs>
              <w:rPr>
                <w:b/>
              </w:rPr>
            </w:pPr>
            <w:r>
              <w:rPr>
                <w:b/>
              </w:rPr>
              <w:t>Collection</w:t>
            </w:r>
          </w:p>
          <w:p w:rsidR="001B46BD" w:rsidRDefault="00575911">
            <w:pPr>
              <w:pStyle w:val="BodyText"/>
              <w:tabs>
                <w:tab w:val="left" w:pos="9900"/>
              </w:tabs>
              <w:ind w:right="-531"/>
              <w:rPr>
                <w:b/>
                <w:u w:val="single"/>
              </w:rPr>
            </w:pPr>
            <w:r>
              <w:rPr>
                <w:b/>
                <w:u w:val="single"/>
              </w:rPr>
              <w:t>Site/Date</w:t>
            </w:r>
          </w:p>
        </w:tc>
        <w:tc>
          <w:tcPr>
            <w:tcW w:w="640" w:type="dxa"/>
            <w:tcBorders>
              <w:top w:val="nil"/>
              <w:left w:val="nil"/>
              <w:bottom w:val="nil"/>
              <w:right w:val="nil"/>
            </w:tcBorders>
            <w:vAlign w:val="center"/>
          </w:tcPr>
          <w:p w:rsidR="001B46BD" w:rsidRDefault="001B46BD">
            <w:pPr>
              <w:pStyle w:val="BodyText"/>
              <w:tabs>
                <w:tab w:val="left" w:pos="9900"/>
              </w:tabs>
              <w:rPr>
                <w:b/>
              </w:rPr>
            </w:pPr>
          </w:p>
          <w:p w:rsidR="001B46BD" w:rsidRDefault="00575911">
            <w:pPr>
              <w:pStyle w:val="BodyText"/>
              <w:tabs>
                <w:tab w:val="left" w:pos="9900"/>
              </w:tabs>
              <w:ind w:right="-531"/>
              <w:rPr>
                <w:b/>
                <w:u w:val="single"/>
              </w:rPr>
            </w:pPr>
            <w:r>
              <w:rPr>
                <w:b/>
                <w:u w:val="single"/>
              </w:rPr>
              <w:t>N</w:t>
            </w:r>
          </w:p>
        </w:tc>
        <w:tc>
          <w:tcPr>
            <w:tcW w:w="2880" w:type="dxa"/>
            <w:gridSpan w:val="3"/>
            <w:tcBorders>
              <w:top w:val="nil"/>
              <w:left w:val="nil"/>
              <w:bottom w:val="nil"/>
              <w:right w:val="nil"/>
            </w:tcBorders>
            <w:vAlign w:val="center"/>
          </w:tcPr>
          <w:p w:rsidR="001B46BD" w:rsidRDefault="00575911">
            <w:pPr>
              <w:pStyle w:val="BodyText"/>
              <w:tabs>
                <w:tab w:val="left" w:pos="9900"/>
              </w:tabs>
              <w:rPr>
                <w:b/>
              </w:rPr>
            </w:pPr>
            <w:r>
              <w:rPr>
                <w:b/>
              </w:rPr>
              <w:t xml:space="preserve">     Fork Length  (cm)  </w:t>
            </w:r>
          </w:p>
          <w:p w:rsidR="001B46BD" w:rsidRDefault="00575911">
            <w:pPr>
              <w:pStyle w:val="BodyText"/>
              <w:tabs>
                <w:tab w:val="left" w:pos="9900"/>
              </w:tabs>
              <w:rPr>
                <w:b/>
              </w:rPr>
            </w:pPr>
            <w:r>
              <w:rPr>
                <w:b/>
                <w:u w:val="single"/>
              </w:rPr>
              <w:t>Mean</w:t>
            </w:r>
            <w:r>
              <w:rPr>
                <w:b/>
              </w:rPr>
              <w:t xml:space="preserve">        </w:t>
            </w:r>
            <w:r>
              <w:rPr>
                <w:b/>
                <w:u w:val="single"/>
              </w:rPr>
              <w:t>SD</w:t>
            </w:r>
            <w:r>
              <w:rPr>
                <w:b/>
              </w:rPr>
              <w:t xml:space="preserve">        </w:t>
            </w:r>
            <w:r>
              <w:rPr>
                <w:b/>
                <w:u w:val="single"/>
              </w:rPr>
              <w:t>Range</w:t>
            </w:r>
          </w:p>
        </w:tc>
        <w:tc>
          <w:tcPr>
            <w:tcW w:w="2700" w:type="dxa"/>
            <w:gridSpan w:val="5"/>
            <w:tcBorders>
              <w:top w:val="nil"/>
              <w:left w:val="nil"/>
              <w:bottom w:val="nil"/>
              <w:right w:val="nil"/>
            </w:tcBorders>
            <w:vAlign w:val="center"/>
          </w:tcPr>
          <w:p w:rsidR="001B46BD" w:rsidRDefault="00575911">
            <w:pPr>
              <w:pStyle w:val="BodyText"/>
              <w:tabs>
                <w:tab w:val="left" w:pos="9900"/>
              </w:tabs>
              <w:rPr>
                <w:b/>
              </w:rPr>
            </w:pPr>
            <w:r>
              <w:rPr>
                <w:b/>
              </w:rPr>
              <w:t xml:space="preserve">    Sex                </w:t>
            </w:r>
            <w:r>
              <w:rPr>
                <w:b/>
                <w:bCs/>
              </w:rPr>
              <w:t>Lineage</w:t>
            </w:r>
            <w:r>
              <w:rPr>
                <w:b/>
              </w:rPr>
              <w:t xml:space="preserve">  </w:t>
            </w:r>
          </w:p>
          <w:p w:rsidR="001B46BD" w:rsidRDefault="00575911">
            <w:pPr>
              <w:pStyle w:val="BodyText"/>
              <w:tabs>
                <w:tab w:val="left" w:pos="9900"/>
              </w:tabs>
              <w:rPr>
                <w:b/>
              </w:rPr>
            </w:pPr>
            <w:r>
              <w:rPr>
                <w:b/>
                <w:u w:val="single"/>
              </w:rPr>
              <w:t>M</w:t>
            </w:r>
            <w:r>
              <w:rPr>
                <w:b/>
              </w:rPr>
              <w:t xml:space="preserve">    </w:t>
            </w:r>
            <w:r>
              <w:rPr>
                <w:b/>
                <w:u w:val="single"/>
              </w:rPr>
              <w:t>F</w:t>
            </w:r>
            <w:r>
              <w:rPr>
                <w:b/>
              </w:rPr>
              <w:t xml:space="preserve">     </w:t>
            </w:r>
            <w:r>
              <w:rPr>
                <w:b/>
                <w:u w:val="single"/>
              </w:rPr>
              <w:t>Un</w:t>
            </w:r>
            <w:r>
              <w:rPr>
                <w:b/>
              </w:rPr>
              <w:t xml:space="preserve">  </w:t>
            </w:r>
            <w:r>
              <w:rPr>
                <w:b/>
                <w:u w:val="single"/>
              </w:rPr>
              <w:t>Wild</w:t>
            </w:r>
            <w:r>
              <w:rPr>
                <w:b/>
              </w:rPr>
              <w:t>/</w:t>
            </w:r>
            <w:r>
              <w:rPr>
                <w:b/>
                <w:u w:val="single"/>
              </w:rPr>
              <w:t>Hatch</w:t>
            </w:r>
          </w:p>
        </w:tc>
        <w:tc>
          <w:tcPr>
            <w:tcW w:w="1260" w:type="dxa"/>
            <w:tcBorders>
              <w:top w:val="nil"/>
              <w:left w:val="nil"/>
              <w:bottom w:val="nil"/>
              <w:right w:val="nil"/>
            </w:tcBorders>
            <w:vAlign w:val="center"/>
          </w:tcPr>
          <w:p w:rsidR="001B46BD" w:rsidRDefault="00575911">
            <w:pPr>
              <w:pStyle w:val="BodyText"/>
              <w:tabs>
                <w:tab w:val="left" w:pos="9900"/>
              </w:tabs>
              <w:ind w:right="-201"/>
              <w:rPr>
                <w:b/>
              </w:rPr>
            </w:pPr>
            <w:r>
              <w:rPr>
                <w:b/>
              </w:rPr>
              <w:t xml:space="preserve">  Release</w:t>
            </w:r>
          </w:p>
          <w:p w:rsidR="001B46BD" w:rsidRDefault="00575911">
            <w:pPr>
              <w:pStyle w:val="BodyText"/>
              <w:tabs>
                <w:tab w:val="left" w:pos="9900"/>
              </w:tabs>
              <w:ind w:right="-201"/>
              <w:rPr>
                <w:b/>
                <w:u w:val="single"/>
              </w:rPr>
            </w:pPr>
            <w:r>
              <w:rPr>
                <w:b/>
              </w:rPr>
              <w:t xml:space="preserve"> </w:t>
            </w:r>
            <w:r>
              <w:rPr>
                <w:b/>
                <w:u w:val="single"/>
              </w:rPr>
              <w:t>Site/Time</w:t>
            </w:r>
          </w:p>
        </w:tc>
        <w:tc>
          <w:tcPr>
            <w:tcW w:w="972" w:type="dxa"/>
            <w:tcBorders>
              <w:top w:val="nil"/>
              <w:left w:val="nil"/>
              <w:bottom w:val="nil"/>
              <w:right w:val="nil"/>
            </w:tcBorders>
            <w:vAlign w:val="center"/>
          </w:tcPr>
          <w:p w:rsidR="001B46BD" w:rsidRDefault="00575911">
            <w:pPr>
              <w:pStyle w:val="BodyText"/>
              <w:tabs>
                <w:tab w:val="left" w:pos="9900"/>
              </w:tabs>
              <w:ind w:right="-201"/>
              <w:rPr>
                <w:b/>
              </w:rPr>
            </w:pPr>
            <w:r>
              <w:rPr>
                <w:b/>
              </w:rPr>
              <w:t>Contact</w:t>
            </w:r>
          </w:p>
          <w:p w:rsidR="001B46BD" w:rsidRDefault="00575911">
            <w:pPr>
              <w:pStyle w:val="BodyText"/>
              <w:tabs>
                <w:tab w:val="left" w:pos="9900"/>
              </w:tabs>
              <w:ind w:right="-201"/>
              <w:rPr>
                <w:b/>
                <w:u w:val="single"/>
              </w:rPr>
            </w:pPr>
            <w:r>
              <w:rPr>
                <w:b/>
              </w:rPr>
              <w:t xml:space="preserve"> </w:t>
            </w:r>
            <w:r>
              <w:rPr>
                <w:b/>
                <w:u w:val="single"/>
              </w:rPr>
              <w:t>At Bon</w:t>
            </w:r>
          </w:p>
        </w:tc>
        <w:tc>
          <w:tcPr>
            <w:tcW w:w="828" w:type="dxa"/>
            <w:tcBorders>
              <w:top w:val="nil"/>
              <w:left w:val="nil"/>
              <w:bottom w:val="nil"/>
              <w:right w:val="nil"/>
            </w:tcBorders>
            <w:vAlign w:val="center"/>
          </w:tcPr>
          <w:p w:rsidR="001B46BD" w:rsidRDefault="00575911">
            <w:pPr>
              <w:pStyle w:val="BodyText"/>
              <w:tabs>
                <w:tab w:val="left" w:pos="9900"/>
              </w:tabs>
              <w:ind w:right="-201"/>
              <w:rPr>
                <w:b/>
              </w:rPr>
            </w:pPr>
            <w:r>
              <w:rPr>
                <w:b/>
              </w:rPr>
              <w:t xml:space="preserve">  Full</w:t>
            </w:r>
          </w:p>
          <w:p w:rsidR="001B46BD" w:rsidRDefault="00575911">
            <w:pPr>
              <w:pStyle w:val="BodyText"/>
              <w:tabs>
                <w:tab w:val="left" w:pos="9900"/>
              </w:tabs>
              <w:ind w:right="-201"/>
              <w:rPr>
                <w:b/>
                <w:u w:val="single"/>
              </w:rPr>
            </w:pPr>
            <w:r>
              <w:rPr>
                <w:b/>
              </w:rPr>
              <w:t xml:space="preserve">  </w:t>
            </w:r>
            <w:r>
              <w:rPr>
                <w:b/>
                <w:u w:val="single"/>
              </w:rPr>
              <w:t>Path</w:t>
            </w:r>
          </w:p>
        </w:tc>
        <w:tc>
          <w:tcPr>
            <w:tcW w:w="2160" w:type="dxa"/>
            <w:gridSpan w:val="3"/>
            <w:tcBorders>
              <w:top w:val="nil"/>
              <w:left w:val="nil"/>
              <w:bottom w:val="nil"/>
              <w:right w:val="nil"/>
            </w:tcBorders>
            <w:vAlign w:val="center"/>
          </w:tcPr>
          <w:p w:rsidR="001B46BD" w:rsidRDefault="00575911">
            <w:pPr>
              <w:pStyle w:val="BodyText"/>
              <w:tabs>
                <w:tab w:val="left" w:pos="9900"/>
              </w:tabs>
              <w:rPr>
                <w:b/>
                <w:u w:val="single"/>
              </w:rPr>
            </w:pPr>
            <w:r>
              <w:rPr>
                <w:b/>
              </w:rPr>
              <w:t xml:space="preserve">      Distribution</w:t>
            </w:r>
          </w:p>
          <w:p w:rsidR="001B46BD" w:rsidRDefault="00575911">
            <w:pPr>
              <w:pStyle w:val="BodyText"/>
              <w:tabs>
                <w:tab w:val="left" w:pos="9900"/>
              </w:tabs>
            </w:pPr>
            <w:r>
              <w:rPr>
                <w:b/>
                <w:u w:val="single"/>
              </w:rPr>
              <w:t>PH ll</w:t>
            </w:r>
            <w:r>
              <w:rPr>
                <w:b/>
              </w:rPr>
              <w:t xml:space="preserve">     </w:t>
            </w:r>
            <w:r>
              <w:rPr>
                <w:b/>
                <w:u w:val="single"/>
              </w:rPr>
              <w:t>spill</w:t>
            </w:r>
            <w:r>
              <w:rPr>
                <w:b/>
              </w:rPr>
              <w:t xml:space="preserve">    </w:t>
            </w:r>
            <w:r>
              <w:rPr>
                <w:b/>
                <w:u w:val="single"/>
              </w:rPr>
              <w:t>PH I</w:t>
            </w:r>
          </w:p>
        </w:tc>
      </w:tr>
      <w:tr w:rsidR="001B46BD">
        <w:trPr>
          <w:cantSplit/>
          <w:trHeight w:val="207"/>
        </w:trPr>
        <w:tc>
          <w:tcPr>
            <w:tcW w:w="1448" w:type="dxa"/>
            <w:tcBorders>
              <w:top w:val="single" w:sz="4" w:space="0" w:color="auto"/>
              <w:left w:val="single" w:sz="4" w:space="0" w:color="auto"/>
              <w:bottom w:val="single" w:sz="4" w:space="0" w:color="auto"/>
              <w:right w:val="single" w:sz="4" w:space="0" w:color="auto"/>
            </w:tcBorders>
          </w:tcPr>
          <w:p w:rsidR="001B46BD" w:rsidRDefault="00575911">
            <w:pPr>
              <w:tabs>
                <w:tab w:val="left" w:pos="9900"/>
              </w:tabs>
              <w:ind w:right="-171"/>
            </w:pPr>
            <w:r>
              <w:t>HR 30-Mar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316"/>
            </w:pPr>
            <w:r>
              <w:t>2</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288"/>
              <w:jc w:val="center"/>
            </w:pPr>
            <w:r>
              <w:t>77.0</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288"/>
              <w:jc w:val="center"/>
            </w:pPr>
            <w:r>
              <w:t>1.4</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left="-240" w:right="-288" w:firstLine="240"/>
            </w:pPr>
            <w:r>
              <w:t xml:space="preserve"> 76.0 - 78.0</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720"/>
            </w:pPr>
            <w:r>
              <w:t>2</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720"/>
            </w:pPr>
            <w:r>
              <w:t>--</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720"/>
            </w:pPr>
            <w:r>
              <w:t>2</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720"/>
            </w:pPr>
            <w:r>
              <w:t>--</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720"/>
            </w:pPr>
            <w:r>
              <w:t>NBR 11:30</w:t>
            </w:r>
          </w:p>
        </w:tc>
        <w:tc>
          <w:tcPr>
            <w:tcW w:w="972" w:type="dxa"/>
            <w:tcBorders>
              <w:top w:val="single" w:sz="4" w:space="0" w:color="auto"/>
              <w:left w:val="single" w:sz="4" w:space="0" w:color="auto"/>
              <w:bottom w:val="single" w:sz="4" w:space="0" w:color="auto"/>
              <w:right w:val="single" w:sz="2" w:space="0" w:color="auto"/>
            </w:tcBorders>
            <w:vAlign w:val="center"/>
          </w:tcPr>
          <w:p w:rsidR="001B46BD" w:rsidRDefault="00575911">
            <w:pPr>
              <w:tabs>
                <w:tab w:val="left" w:pos="9900"/>
              </w:tabs>
              <w:ind w:right="-201"/>
              <w:jc w:val="center"/>
            </w:pPr>
            <w:r>
              <w:t>1</w:t>
            </w:r>
          </w:p>
        </w:tc>
        <w:tc>
          <w:tcPr>
            <w:tcW w:w="828" w:type="dxa"/>
            <w:tcBorders>
              <w:top w:val="single" w:sz="4" w:space="0" w:color="auto"/>
              <w:left w:val="single" w:sz="2" w:space="0" w:color="auto"/>
              <w:right w:val="single" w:sz="2" w:space="0" w:color="auto"/>
            </w:tcBorders>
            <w:vAlign w:val="center"/>
          </w:tcPr>
          <w:p w:rsidR="001B46BD" w:rsidRDefault="00575911">
            <w:pPr>
              <w:tabs>
                <w:tab w:val="left" w:pos="9900"/>
              </w:tabs>
              <w:ind w:right="-201"/>
              <w:jc w:val="center"/>
            </w:pPr>
            <w:r>
              <w:t>1</w:t>
            </w:r>
          </w:p>
        </w:tc>
        <w:tc>
          <w:tcPr>
            <w:tcW w:w="667" w:type="dxa"/>
            <w:tcBorders>
              <w:top w:val="single" w:sz="4" w:space="0" w:color="auto"/>
              <w:left w:val="single" w:sz="2" w:space="0" w:color="auto"/>
              <w:right w:val="single" w:sz="2" w:space="0" w:color="auto"/>
            </w:tcBorders>
            <w:vAlign w:val="center"/>
          </w:tcPr>
          <w:p w:rsidR="001B46BD" w:rsidRDefault="00575911">
            <w:pPr>
              <w:tabs>
                <w:tab w:val="left" w:pos="9900"/>
              </w:tabs>
              <w:ind w:right="-720"/>
            </w:pPr>
            <w:r>
              <w:t>--</w:t>
            </w:r>
          </w:p>
        </w:tc>
        <w:tc>
          <w:tcPr>
            <w:tcW w:w="818" w:type="dxa"/>
            <w:tcBorders>
              <w:top w:val="single" w:sz="4" w:space="0" w:color="auto"/>
              <w:left w:val="single" w:sz="2" w:space="0" w:color="auto"/>
              <w:right w:val="single" w:sz="2" w:space="0" w:color="auto"/>
            </w:tcBorders>
            <w:vAlign w:val="center"/>
          </w:tcPr>
          <w:p w:rsidR="001B46BD" w:rsidRDefault="00575911">
            <w:pPr>
              <w:tabs>
                <w:tab w:val="left" w:pos="9900"/>
              </w:tabs>
              <w:ind w:right="-720"/>
            </w:pPr>
            <w:r>
              <w:t>1</w:t>
            </w:r>
          </w:p>
        </w:tc>
        <w:tc>
          <w:tcPr>
            <w:tcW w:w="675" w:type="dxa"/>
            <w:tcBorders>
              <w:top w:val="single" w:sz="4" w:space="0" w:color="auto"/>
              <w:left w:val="single" w:sz="2" w:space="0" w:color="auto"/>
              <w:bottom w:val="single" w:sz="4" w:space="0" w:color="auto"/>
              <w:right w:val="single" w:sz="4" w:space="0" w:color="auto"/>
            </w:tcBorders>
            <w:vAlign w:val="center"/>
          </w:tcPr>
          <w:p w:rsidR="001B46BD" w:rsidRDefault="00575911">
            <w:pPr>
              <w:tabs>
                <w:tab w:val="left" w:pos="9900"/>
              </w:tabs>
              <w:ind w:right="-720"/>
            </w:pPr>
            <w:r>
              <w:t>--</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tabs>
                <w:tab w:val="left" w:pos="9900"/>
              </w:tabs>
              <w:ind w:right="-720"/>
            </w:pPr>
            <w:r>
              <w:t>LGR 04-Apr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316"/>
            </w:pPr>
            <w:r>
              <w:t>6</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288"/>
              <w:jc w:val="center"/>
            </w:pPr>
            <w:r>
              <w:t>71.5</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288"/>
              <w:jc w:val="center"/>
            </w:pPr>
            <w:r>
              <w:t>8.6</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288"/>
            </w:pPr>
            <w:r>
              <w:t xml:space="preserve"> 66.5 - 72.0</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720"/>
            </w:pPr>
            <w:r>
              <w:t>5</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720"/>
            </w:pPr>
            <w:r>
              <w:t>1</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720"/>
            </w:pPr>
            <w:r>
              <w:t>6</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720"/>
            </w:pPr>
            <w:r>
              <w:t>--</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tabs>
                <w:tab w:val="left" w:pos="9900"/>
              </w:tabs>
              <w:ind w:right="-720"/>
            </w:pPr>
            <w:r>
              <w:t>CCL 20:00</w:t>
            </w:r>
          </w:p>
        </w:tc>
        <w:tc>
          <w:tcPr>
            <w:tcW w:w="972" w:type="dxa"/>
            <w:tcBorders>
              <w:left w:val="single" w:sz="4" w:space="0" w:color="auto"/>
              <w:bottom w:val="single" w:sz="4" w:space="0" w:color="auto"/>
              <w:right w:val="single" w:sz="4" w:space="0" w:color="auto"/>
            </w:tcBorders>
            <w:vAlign w:val="center"/>
          </w:tcPr>
          <w:p w:rsidR="001B46BD" w:rsidRDefault="00575911">
            <w:pPr>
              <w:tabs>
                <w:tab w:val="left" w:pos="9900"/>
              </w:tabs>
              <w:ind w:right="-201"/>
              <w:jc w:val="center"/>
            </w:pPr>
            <w:r>
              <w:t>6</w:t>
            </w:r>
          </w:p>
        </w:tc>
        <w:tc>
          <w:tcPr>
            <w:tcW w:w="828" w:type="dxa"/>
            <w:tcBorders>
              <w:left w:val="single" w:sz="4" w:space="0" w:color="auto"/>
              <w:bottom w:val="single" w:sz="4" w:space="0" w:color="auto"/>
              <w:right w:val="single" w:sz="2" w:space="0" w:color="auto"/>
            </w:tcBorders>
            <w:vAlign w:val="center"/>
          </w:tcPr>
          <w:p w:rsidR="001B46BD" w:rsidRDefault="00575911">
            <w:pPr>
              <w:tabs>
                <w:tab w:val="left" w:pos="9900"/>
              </w:tabs>
              <w:ind w:right="-201"/>
              <w:jc w:val="center"/>
            </w:pPr>
            <w:r>
              <w:t>3</w:t>
            </w:r>
          </w:p>
        </w:tc>
        <w:tc>
          <w:tcPr>
            <w:tcW w:w="667" w:type="dxa"/>
            <w:tcBorders>
              <w:left w:val="single" w:sz="2" w:space="0" w:color="auto"/>
              <w:bottom w:val="single" w:sz="4" w:space="0" w:color="auto"/>
              <w:right w:val="single" w:sz="2" w:space="0" w:color="auto"/>
            </w:tcBorders>
            <w:vAlign w:val="center"/>
          </w:tcPr>
          <w:p w:rsidR="001B46BD" w:rsidRDefault="00575911">
            <w:pPr>
              <w:tabs>
                <w:tab w:val="left" w:pos="9900"/>
              </w:tabs>
              <w:ind w:right="-720"/>
            </w:pPr>
            <w:r>
              <w:t>--</w:t>
            </w:r>
          </w:p>
        </w:tc>
        <w:tc>
          <w:tcPr>
            <w:tcW w:w="818" w:type="dxa"/>
            <w:tcBorders>
              <w:left w:val="single" w:sz="2" w:space="0" w:color="auto"/>
              <w:bottom w:val="single" w:sz="4" w:space="0" w:color="auto"/>
              <w:right w:val="single" w:sz="4" w:space="0" w:color="auto"/>
            </w:tcBorders>
            <w:vAlign w:val="center"/>
          </w:tcPr>
          <w:p w:rsidR="001B46BD" w:rsidRDefault="00575911">
            <w:pPr>
              <w:tabs>
                <w:tab w:val="left" w:pos="9900"/>
              </w:tabs>
              <w:ind w:right="-603"/>
            </w:pPr>
            <w:r>
              <w:t>3</w:t>
            </w:r>
          </w:p>
        </w:tc>
        <w:tc>
          <w:tcPr>
            <w:tcW w:w="675" w:type="dxa"/>
            <w:tcBorders>
              <w:left w:val="single" w:sz="4" w:space="0" w:color="auto"/>
              <w:bottom w:val="single" w:sz="4" w:space="0" w:color="auto"/>
              <w:right w:val="single" w:sz="2" w:space="0" w:color="auto"/>
            </w:tcBorders>
            <w:vAlign w:val="center"/>
          </w:tcPr>
          <w:p w:rsidR="001B46BD" w:rsidRDefault="00575911">
            <w:pPr>
              <w:tabs>
                <w:tab w:val="left" w:pos="9900"/>
              </w:tabs>
              <w:ind w:left="-6531" w:right="-720" w:firstLine="6531"/>
            </w:pPr>
            <w:r>
              <w:t>--</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HR 06-Apr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3</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69.0</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2.8</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63.5 - 86.4</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12:30</w:t>
            </w:r>
          </w:p>
        </w:tc>
        <w:tc>
          <w:tcPr>
            <w:tcW w:w="972"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01"/>
              <w:jc w:val="center"/>
            </w:pPr>
            <w:r>
              <w:t>2</w:t>
            </w:r>
          </w:p>
        </w:tc>
        <w:tc>
          <w:tcPr>
            <w:tcW w:w="828" w:type="dxa"/>
            <w:tcBorders>
              <w:top w:val="single" w:sz="4" w:space="0" w:color="auto"/>
              <w:left w:val="single" w:sz="4" w:space="0" w:color="auto"/>
              <w:bottom w:val="single" w:sz="4" w:space="0" w:color="auto"/>
              <w:right w:val="nil"/>
            </w:tcBorders>
            <w:vAlign w:val="center"/>
          </w:tcPr>
          <w:p w:rsidR="001B46BD" w:rsidRDefault="00575911">
            <w:pPr>
              <w:ind w:right="-201"/>
              <w:jc w:val="center"/>
            </w:pPr>
            <w:r>
              <w:t>1</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1</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w:t>
            </w:r>
          </w:p>
        </w:tc>
        <w:tc>
          <w:tcPr>
            <w:tcW w:w="675" w:type="dxa"/>
            <w:tcBorders>
              <w:top w:val="single" w:sz="4" w:space="0" w:color="auto"/>
              <w:left w:val="single" w:sz="4" w:space="0" w:color="auto"/>
              <w:bottom w:val="single" w:sz="4" w:space="0" w:color="auto"/>
              <w:right w:val="single" w:sz="2" w:space="0" w:color="auto"/>
            </w:tcBorders>
            <w:vAlign w:val="center"/>
          </w:tcPr>
          <w:p w:rsidR="001B46BD" w:rsidRDefault="00575911">
            <w:pPr>
              <w:ind w:right="-720"/>
            </w:pPr>
            <w:r>
              <w:t>--</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LGR 07-Apr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13</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65.5</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10.5</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55.9 - 86.4</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1</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5</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7</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6</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7</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20:10</w:t>
            </w:r>
          </w:p>
        </w:tc>
        <w:tc>
          <w:tcPr>
            <w:tcW w:w="972"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01"/>
              <w:jc w:val="center"/>
            </w:pPr>
            <w:r>
              <w:t>13</w:t>
            </w:r>
          </w:p>
        </w:tc>
        <w:tc>
          <w:tcPr>
            <w:tcW w:w="828" w:type="dxa"/>
            <w:tcBorders>
              <w:top w:val="single" w:sz="4" w:space="0" w:color="auto"/>
              <w:left w:val="single" w:sz="4" w:space="0" w:color="auto"/>
              <w:bottom w:val="single" w:sz="4" w:space="0" w:color="auto"/>
              <w:right w:val="nil"/>
            </w:tcBorders>
            <w:vAlign w:val="center"/>
          </w:tcPr>
          <w:p w:rsidR="001B46BD" w:rsidRDefault="00575911">
            <w:pPr>
              <w:ind w:right="-201"/>
              <w:jc w:val="center"/>
            </w:pPr>
            <w:r>
              <w:t>9</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8</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LGO 12-Apr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3</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67.3</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9.9</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60.9 - 78.7</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2</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19:30</w:t>
            </w:r>
          </w:p>
        </w:tc>
        <w:tc>
          <w:tcPr>
            <w:tcW w:w="972"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01"/>
              <w:jc w:val="center"/>
            </w:pPr>
            <w:r>
              <w:t>3</w:t>
            </w:r>
          </w:p>
        </w:tc>
        <w:tc>
          <w:tcPr>
            <w:tcW w:w="828" w:type="dxa"/>
            <w:tcBorders>
              <w:top w:val="single" w:sz="4" w:space="0" w:color="auto"/>
              <w:left w:val="single" w:sz="4" w:space="0" w:color="auto"/>
              <w:bottom w:val="single" w:sz="4" w:space="0" w:color="auto"/>
              <w:right w:val="nil"/>
            </w:tcBorders>
            <w:vAlign w:val="center"/>
          </w:tcPr>
          <w:p w:rsidR="001B46BD" w:rsidRDefault="00575911">
            <w:pPr>
              <w:ind w:right="-201"/>
              <w:jc w:val="center"/>
            </w:pPr>
            <w:r>
              <w:t>3</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1</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2</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HR 13-Apr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3</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73.0</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10.2</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62.0 - 82.0</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2</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12:00</w:t>
            </w:r>
          </w:p>
        </w:tc>
        <w:tc>
          <w:tcPr>
            <w:tcW w:w="972"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01"/>
              <w:jc w:val="center"/>
            </w:pPr>
            <w:r>
              <w:t>1</w:t>
            </w:r>
          </w:p>
        </w:tc>
        <w:tc>
          <w:tcPr>
            <w:tcW w:w="828" w:type="dxa"/>
            <w:tcBorders>
              <w:top w:val="single" w:sz="4" w:space="0" w:color="auto"/>
              <w:left w:val="single" w:sz="4" w:space="0" w:color="auto"/>
              <w:bottom w:val="single" w:sz="4" w:space="0" w:color="auto"/>
              <w:right w:val="nil"/>
            </w:tcBorders>
            <w:vAlign w:val="center"/>
          </w:tcPr>
          <w:p w:rsidR="001B46BD" w:rsidRDefault="00575911">
            <w:pPr>
              <w:ind w:right="-201"/>
              <w:jc w:val="center"/>
            </w:pPr>
            <w:r>
              <w:t>1</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1</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LGR 18-Apr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16</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64.5</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8.8</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55.9 - 86.4</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10</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6</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7</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9</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SBR 20:30</w:t>
            </w:r>
          </w:p>
        </w:tc>
        <w:tc>
          <w:tcPr>
            <w:tcW w:w="972"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01"/>
              <w:jc w:val="center"/>
            </w:pPr>
            <w:r>
              <w:t>16</w:t>
            </w:r>
          </w:p>
        </w:tc>
        <w:tc>
          <w:tcPr>
            <w:tcW w:w="828" w:type="dxa"/>
            <w:tcBorders>
              <w:top w:val="single" w:sz="4" w:space="0" w:color="auto"/>
              <w:left w:val="single" w:sz="4" w:space="0" w:color="auto"/>
              <w:bottom w:val="single" w:sz="4" w:space="0" w:color="auto"/>
              <w:right w:val="nil"/>
            </w:tcBorders>
            <w:vAlign w:val="center"/>
          </w:tcPr>
          <w:p w:rsidR="001B46BD" w:rsidRDefault="00575911">
            <w:pPr>
              <w:ind w:right="-201"/>
              <w:jc w:val="center"/>
            </w:pPr>
            <w:r>
              <w:t>16</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6</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2</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8</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HR 20-Apr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2</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69.0</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8.5</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63.0 - 75.0</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2</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2</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SBR 12:00</w:t>
            </w:r>
          </w:p>
        </w:tc>
        <w:tc>
          <w:tcPr>
            <w:tcW w:w="972"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01"/>
              <w:jc w:val="center"/>
            </w:pPr>
            <w:r>
              <w:t>2</w:t>
            </w:r>
          </w:p>
        </w:tc>
        <w:tc>
          <w:tcPr>
            <w:tcW w:w="828" w:type="dxa"/>
            <w:tcBorders>
              <w:top w:val="single" w:sz="4" w:space="0" w:color="auto"/>
              <w:left w:val="single" w:sz="4" w:space="0" w:color="auto"/>
              <w:bottom w:val="single" w:sz="4" w:space="0" w:color="auto"/>
              <w:right w:val="nil"/>
            </w:tcBorders>
            <w:vAlign w:val="center"/>
          </w:tcPr>
          <w:p w:rsidR="001B46BD" w:rsidRDefault="00575911">
            <w:pPr>
              <w:ind w:right="-201"/>
              <w:jc w:val="center"/>
            </w:pPr>
            <w:r>
              <w:t>2</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2</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LGO 25-Apr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3</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56.3</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3.9</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53.3 - 61.0</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1</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2</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2</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SBR 21:45</w:t>
            </w:r>
          </w:p>
        </w:tc>
        <w:tc>
          <w:tcPr>
            <w:tcW w:w="972" w:type="dxa"/>
            <w:vMerge w:val="restart"/>
            <w:tcBorders>
              <w:top w:val="single" w:sz="4" w:space="0" w:color="auto"/>
              <w:left w:val="single" w:sz="4" w:space="0" w:color="auto"/>
              <w:right w:val="single" w:sz="4" w:space="0" w:color="auto"/>
            </w:tcBorders>
            <w:vAlign w:val="center"/>
          </w:tcPr>
          <w:p w:rsidR="001B46BD" w:rsidRDefault="00575911">
            <w:pPr>
              <w:ind w:right="-201"/>
              <w:jc w:val="center"/>
            </w:pPr>
            <w:r>
              <w:t>13</w:t>
            </w:r>
          </w:p>
        </w:tc>
        <w:tc>
          <w:tcPr>
            <w:tcW w:w="828" w:type="dxa"/>
            <w:vMerge w:val="restart"/>
            <w:tcBorders>
              <w:top w:val="single" w:sz="4" w:space="0" w:color="auto"/>
              <w:left w:val="single" w:sz="4" w:space="0" w:color="auto"/>
              <w:right w:val="nil"/>
            </w:tcBorders>
            <w:vAlign w:val="center"/>
          </w:tcPr>
          <w:p w:rsidR="001B46BD" w:rsidRDefault="00575911">
            <w:pPr>
              <w:ind w:right="-201"/>
              <w:jc w:val="center"/>
            </w:pPr>
            <w:r>
              <w:t>13</w:t>
            </w:r>
          </w:p>
        </w:tc>
        <w:tc>
          <w:tcPr>
            <w:tcW w:w="667" w:type="dxa"/>
            <w:vMerge w:val="restart"/>
            <w:tcBorders>
              <w:top w:val="single" w:sz="4" w:space="0" w:color="auto"/>
              <w:left w:val="single" w:sz="2" w:space="0" w:color="auto"/>
              <w:right w:val="nil"/>
            </w:tcBorders>
            <w:vAlign w:val="center"/>
          </w:tcPr>
          <w:p w:rsidR="001B46BD" w:rsidRDefault="00575911">
            <w:pPr>
              <w:ind w:right="-720"/>
            </w:pPr>
            <w:r>
              <w:t>4</w:t>
            </w:r>
          </w:p>
        </w:tc>
        <w:tc>
          <w:tcPr>
            <w:tcW w:w="818" w:type="dxa"/>
            <w:vMerge w:val="restart"/>
            <w:tcBorders>
              <w:top w:val="single" w:sz="4" w:space="0" w:color="auto"/>
              <w:left w:val="single" w:sz="2" w:space="0" w:color="auto"/>
              <w:right w:val="single" w:sz="4" w:space="0" w:color="auto"/>
            </w:tcBorders>
            <w:vAlign w:val="center"/>
          </w:tcPr>
          <w:p w:rsidR="001B46BD" w:rsidRDefault="00575911">
            <w:pPr>
              <w:ind w:right="-720"/>
            </w:pPr>
            <w:r>
              <w:t>6</w:t>
            </w:r>
          </w:p>
        </w:tc>
        <w:tc>
          <w:tcPr>
            <w:tcW w:w="675" w:type="dxa"/>
            <w:vMerge w:val="restart"/>
            <w:tcBorders>
              <w:top w:val="single" w:sz="4" w:space="0" w:color="auto"/>
              <w:left w:val="single" w:sz="4" w:space="0" w:color="auto"/>
              <w:right w:val="single" w:sz="4" w:space="0" w:color="auto"/>
            </w:tcBorders>
            <w:vAlign w:val="center"/>
          </w:tcPr>
          <w:p w:rsidR="001B46BD" w:rsidRDefault="00575911">
            <w:pPr>
              <w:ind w:right="-720"/>
            </w:pPr>
            <w:r>
              <w:t>3</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LGR 25-Apr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10</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63.5</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7.1</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58.4 - 81.3</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4</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6</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4</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6</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SBR 21:45</w:t>
            </w:r>
          </w:p>
        </w:tc>
        <w:tc>
          <w:tcPr>
            <w:tcW w:w="972" w:type="dxa"/>
            <w:vMerge/>
            <w:tcBorders>
              <w:left w:val="single" w:sz="4" w:space="0" w:color="auto"/>
              <w:bottom w:val="single" w:sz="4" w:space="0" w:color="auto"/>
              <w:right w:val="single" w:sz="4" w:space="0" w:color="auto"/>
            </w:tcBorders>
            <w:vAlign w:val="center"/>
          </w:tcPr>
          <w:p w:rsidR="001B46BD" w:rsidRDefault="001B46BD">
            <w:pPr>
              <w:ind w:right="-201"/>
              <w:jc w:val="center"/>
            </w:pPr>
          </w:p>
        </w:tc>
        <w:tc>
          <w:tcPr>
            <w:tcW w:w="828" w:type="dxa"/>
            <w:vMerge/>
            <w:tcBorders>
              <w:left w:val="single" w:sz="4" w:space="0" w:color="auto"/>
              <w:bottom w:val="single" w:sz="4" w:space="0" w:color="auto"/>
              <w:right w:val="nil"/>
            </w:tcBorders>
            <w:vAlign w:val="center"/>
          </w:tcPr>
          <w:p w:rsidR="001B46BD" w:rsidRDefault="001B46BD">
            <w:pPr>
              <w:ind w:right="-201"/>
              <w:jc w:val="center"/>
            </w:pPr>
          </w:p>
        </w:tc>
        <w:tc>
          <w:tcPr>
            <w:tcW w:w="667" w:type="dxa"/>
            <w:vMerge/>
            <w:tcBorders>
              <w:left w:val="single" w:sz="2" w:space="0" w:color="auto"/>
              <w:bottom w:val="single" w:sz="4" w:space="0" w:color="auto"/>
              <w:right w:val="nil"/>
            </w:tcBorders>
            <w:vAlign w:val="center"/>
          </w:tcPr>
          <w:p w:rsidR="001B46BD" w:rsidRDefault="001B46BD">
            <w:pPr>
              <w:ind w:right="-720"/>
            </w:pPr>
          </w:p>
        </w:tc>
        <w:tc>
          <w:tcPr>
            <w:tcW w:w="818" w:type="dxa"/>
            <w:vMerge/>
            <w:tcBorders>
              <w:left w:val="single" w:sz="2" w:space="0" w:color="auto"/>
              <w:bottom w:val="single" w:sz="4" w:space="0" w:color="auto"/>
              <w:right w:val="single" w:sz="4" w:space="0" w:color="auto"/>
            </w:tcBorders>
          </w:tcPr>
          <w:p w:rsidR="001B46BD" w:rsidRDefault="001B46BD">
            <w:pPr>
              <w:ind w:right="-720"/>
            </w:pPr>
          </w:p>
        </w:tc>
        <w:tc>
          <w:tcPr>
            <w:tcW w:w="675" w:type="dxa"/>
            <w:vMerge/>
            <w:tcBorders>
              <w:left w:val="single" w:sz="4" w:space="0" w:color="auto"/>
              <w:bottom w:val="single" w:sz="4" w:space="0" w:color="auto"/>
              <w:right w:val="single" w:sz="4" w:space="0" w:color="auto"/>
            </w:tcBorders>
          </w:tcPr>
          <w:p w:rsidR="001B46BD" w:rsidRDefault="001B46BD">
            <w:pPr>
              <w:ind w:right="-720"/>
            </w:pP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LGO 27-Apr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4</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62.2</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6.7</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53.3 - 68.6</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4</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SBR 20:45</w:t>
            </w:r>
          </w:p>
        </w:tc>
        <w:tc>
          <w:tcPr>
            <w:tcW w:w="972" w:type="dxa"/>
            <w:vMerge w:val="restart"/>
            <w:tcBorders>
              <w:top w:val="single" w:sz="4" w:space="0" w:color="auto"/>
              <w:left w:val="single" w:sz="4" w:space="0" w:color="auto"/>
              <w:right w:val="single" w:sz="4" w:space="0" w:color="auto"/>
            </w:tcBorders>
            <w:vAlign w:val="center"/>
          </w:tcPr>
          <w:p w:rsidR="001B46BD" w:rsidRDefault="00575911">
            <w:pPr>
              <w:ind w:right="-201"/>
              <w:jc w:val="center"/>
            </w:pPr>
            <w:r>
              <w:t>10</w:t>
            </w:r>
          </w:p>
        </w:tc>
        <w:tc>
          <w:tcPr>
            <w:tcW w:w="828" w:type="dxa"/>
            <w:vMerge w:val="restart"/>
            <w:tcBorders>
              <w:top w:val="single" w:sz="4" w:space="0" w:color="auto"/>
              <w:left w:val="single" w:sz="4" w:space="0" w:color="auto"/>
              <w:right w:val="nil"/>
            </w:tcBorders>
            <w:vAlign w:val="center"/>
          </w:tcPr>
          <w:p w:rsidR="001B46BD" w:rsidRDefault="00575911">
            <w:pPr>
              <w:ind w:right="-201"/>
              <w:jc w:val="center"/>
            </w:pPr>
            <w:r>
              <w:t>9</w:t>
            </w:r>
          </w:p>
        </w:tc>
        <w:tc>
          <w:tcPr>
            <w:tcW w:w="667" w:type="dxa"/>
            <w:vMerge w:val="restart"/>
            <w:tcBorders>
              <w:top w:val="single" w:sz="4" w:space="0" w:color="auto"/>
              <w:left w:val="single" w:sz="2" w:space="0" w:color="auto"/>
              <w:right w:val="nil"/>
            </w:tcBorders>
            <w:vAlign w:val="center"/>
          </w:tcPr>
          <w:p w:rsidR="001B46BD" w:rsidRDefault="00575911">
            <w:pPr>
              <w:ind w:right="-720"/>
            </w:pPr>
            <w:r>
              <w:t>--</w:t>
            </w:r>
          </w:p>
        </w:tc>
        <w:tc>
          <w:tcPr>
            <w:tcW w:w="818" w:type="dxa"/>
            <w:vMerge w:val="restart"/>
            <w:tcBorders>
              <w:top w:val="single" w:sz="4" w:space="0" w:color="auto"/>
              <w:left w:val="single" w:sz="2" w:space="0" w:color="auto"/>
              <w:right w:val="single" w:sz="4" w:space="0" w:color="auto"/>
            </w:tcBorders>
            <w:vAlign w:val="center"/>
          </w:tcPr>
          <w:p w:rsidR="001B46BD" w:rsidRDefault="00575911">
            <w:pPr>
              <w:ind w:right="-720"/>
            </w:pPr>
            <w:r>
              <w:t>2</w:t>
            </w:r>
          </w:p>
        </w:tc>
        <w:tc>
          <w:tcPr>
            <w:tcW w:w="675" w:type="dxa"/>
            <w:vMerge w:val="restart"/>
            <w:tcBorders>
              <w:top w:val="single" w:sz="4" w:space="0" w:color="auto"/>
              <w:left w:val="single" w:sz="4" w:space="0" w:color="auto"/>
              <w:right w:val="single" w:sz="4" w:space="0" w:color="auto"/>
            </w:tcBorders>
            <w:vAlign w:val="center"/>
          </w:tcPr>
          <w:p w:rsidR="001B46BD" w:rsidRDefault="00575911">
            <w:pPr>
              <w:ind w:right="-720"/>
            </w:pPr>
            <w:r>
              <w:t>7</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LGR 27-Apr</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6</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56.7</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4.2</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53.3 - 63.5</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2</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4</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SBR 20:45</w:t>
            </w:r>
          </w:p>
        </w:tc>
        <w:tc>
          <w:tcPr>
            <w:tcW w:w="972" w:type="dxa"/>
            <w:vMerge/>
            <w:tcBorders>
              <w:left w:val="single" w:sz="4" w:space="0" w:color="auto"/>
              <w:bottom w:val="single" w:sz="4" w:space="0" w:color="auto"/>
              <w:right w:val="single" w:sz="2" w:space="0" w:color="auto"/>
            </w:tcBorders>
            <w:vAlign w:val="center"/>
          </w:tcPr>
          <w:p w:rsidR="001B46BD" w:rsidRDefault="001B46BD">
            <w:pPr>
              <w:ind w:right="-201"/>
              <w:jc w:val="center"/>
            </w:pPr>
          </w:p>
        </w:tc>
        <w:tc>
          <w:tcPr>
            <w:tcW w:w="828" w:type="dxa"/>
            <w:vMerge/>
            <w:tcBorders>
              <w:left w:val="single" w:sz="2" w:space="0" w:color="auto"/>
              <w:bottom w:val="single" w:sz="4" w:space="0" w:color="auto"/>
              <w:right w:val="nil"/>
            </w:tcBorders>
            <w:vAlign w:val="center"/>
          </w:tcPr>
          <w:p w:rsidR="001B46BD" w:rsidRDefault="001B46BD">
            <w:pPr>
              <w:ind w:right="-201"/>
              <w:jc w:val="center"/>
            </w:pPr>
          </w:p>
        </w:tc>
        <w:tc>
          <w:tcPr>
            <w:tcW w:w="667" w:type="dxa"/>
            <w:vMerge/>
            <w:tcBorders>
              <w:left w:val="single" w:sz="2" w:space="0" w:color="auto"/>
              <w:bottom w:val="single" w:sz="4" w:space="0" w:color="auto"/>
              <w:right w:val="nil"/>
            </w:tcBorders>
            <w:vAlign w:val="center"/>
          </w:tcPr>
          <w:p w:rsidR="001B46BD" w:rsidRDefault="001B46BD">
            <w:pPr>
              <w:ind w:right="-720"/>
            </w:pPr>
          </w:p>
        </w:tc>
        <w:tc>
          <w:tcPr>
            <w:tcW w:w="818" w:type="dxa"/>
            <w:vMerge/>
            <w:tcBorders>
              <w:left w:val="single" w:sz="2" w:space="0" w:color="auto"/>
              <w:bottom w:val="single" w:sz="4" w:space="0" w:color="auto"/>
              <w:right w:val="single" w:sz="4" w:space="0" w:color="auto"/>
            </w:tcBorders>
            <w:vAlign w:val="center"/>
          </w:tcPr>
          <w:p w:rsidR="001B46BD" w:rsidRDefault="001B46BD">
            <w:pPr>
              <w:ind w:right="-720"/>
            </w:pPr>
          </w:p>
        </w:tc>
        <w:tc>
          <w:tcPr>
            <w:tcW w:w="675" w:type="dxa"/>
            <w:vMerge/>
            <w:tcBorders>
              <w:left w:val="single" w:sz="4" w:space="0" w:color="auto"/>
              <w:bottom w:val="single" w:sz="4" w:space="0" w:color="auto"/>
              <w:right w:val="single" w:sz="4" w:space="0" w:color="auto"/>
            </w:tcBorders>
          </w:tcPr>
          <w:p w:rsidR="001B46BD" w:rsidRDefault="001B46BD">
            <w:pPr>
              <w:ind w:right="-720"/>
            </w:pP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LGO 3-May</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11</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61.0</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7.2</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55.9 - 78.7</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7</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4</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8</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20:45</w:t>
            </w:r>
          </w:p>
        </w:tc>
        <w:tc>
          <w:tcPr>
            <w:tcW w:w="972" w:type="dxa"/>
            <w:tcBorders>
              <w:top w:val="single" w:sz="4" w:space="0" w:color="auto"/>
              <w:left w:val="single" w:sz="4" w:space="0" w:color="auto"/>
              <w:bottom w:val="single" w:sz="4" w:space="0" w:color="auto"/>
              <w:right w:val="single" w:sz="2" w:space="0" w:color="auto"/>
            </w:tcBorders>
            <w:vAlign w:val="center"/>
          </w:tcPr>
          <w:p w:rsidR="001B46BD" w:rsidRDefault="00575911">
            <w:pPr>
              <w:ind w:right="-201"/>
              <w:jc w:val="center"/>
            </w:pPr>
            <w:r>
              <w:t>11</w:t>
            </w:r>
          </w:p>
        </w:tc>
        <w:tc>
          <w:tcPr>
            <w:tcW w:w="828" w:type="dxa"/>
            <w:tcBorders>
              <w:top w:val="single" w:sz="4" w:space="0" w:color="auto"/>
              <w:left w:val="single" w:sz="2" w:space="0" w:color="auto"/>
              <w:bottom w:val="single" w:sz="4" w:space="0" w:color="auto"/>
              <w:right w:val="nil"/>
            </w:tcBorders>
            <w:vAlign w:val="center"/>
          </w:tcPr>
          <w:p w:rsidR="001B46BD" w:rsidRDefault="00575911">
            <w:pPr>
              <w:ind w:right="-201"/>
              <w:jc w:val="center"/>
            </w:pPr>
            <w:r>
              <w:t>11</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3</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2</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6</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HR 4-May</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1</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68.5</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 xml:space="preserve">CCL 11:30 </w:t>
            </w:r>
          </w:p>
        </w:tc>
        <w:tc>
          <w:tcPr>
            <w:tcW w:w="972" w:type="dxa"/>
            <w:tcBorders>
              <w:top w:val="single" w:sz="4" w:space="0" w:color="auto"/>
              <w:left w:val="single" w:sz="4" w:space="0" w:color="auto"/>
              <w:bottom w:val="single" w:sz="4" w:space="0" w:color="auto"/>
              <w:right w:val="single" w:sz="2" w:space="0" w:color="auto"/>
            </w:tcBorders>
            <w:vAlign w:val="center"/>
          </w:tcPr>
          <w:p w:rsidR="001B46BD" w:rsidRDefault="00575911">
            <w:pPr>
              <w:ind w:right="-201"/>
              <w:jc w:val="center"/>
            </w:pPr>
            <w:r>
              <w:t>1</w:t>
            </w:r>
          </w:p>
        </w:tc>
        <w:tc>
          <w:tcPr>
            <w:tcW w:w="828" w:type="dxa"/>
            <w:tcBorders>
              <w:top w:val="single" w:sz="4" w:space="0" w:color="auto"/>
              <w:left w:val="single" w:sz="2" w:space="0" w:color="auto"/>
              <w:bottom w:val="single" w:sz="4" w:space="0" w:color="auto"/>
              <w:right w:val="nil"/>
            </w:tcBorders>
            <w:vAlign w:val="center"/>
          </w:tcPr>
          <w:p w:rsidR="001B46BD" w:rsidRDefault="00575911">
            <w:pPr>
              <w:ind w:right="-201"/>
              <w:jc w:val="center"/>
            </w:pPr>
            <w:r>
              <w:t>1</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LGR 6-May</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15</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62.6</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4.8</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53.3 - 71.1</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6</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6</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12</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21:00</w:t>
            </w:r>
          </w:p>
        </w:tc>
        <w:tc>
          <w:tcPr>
            <w:tcW w:w="972" w:type="dxa"/>
            <w:tcBorders>
              <w:top w:val="single" w:sz="4" w:space="0" w:color="auto"/>
              <w:left w:val="single" w:sz="4" w:space="0" w:color="auto"/>
              <w:bottom w:val="single" w:sz="4" w:space="0" w:color="auto"/>
              <w:right w:val="single" w:sz="2" w:space="0" w:color="auto"/>
            </w:tcBorders>
            <w:vAlign w:val="center"/>
          </w:tcPr>
          <w:p w:rsidR="001B46BD" w:rsidRDefault="00575911">
            <w:pPr>
              <w:ind w:right="-201"/>
              <w:jc w:val="center"/>
            </w:pPr>
            <w:r>
              <w:t>14</w:t>
            </w:r>
          </w:p>
        </w:tc>
        <w:tc>
          <w:tcPr>
            <w:tcW w:w="828" w:type="dxa"/>
            <w:tcBorders>
              <w:top w:val="single" w:sz="4" w:space="0" w:color="auto"/>
              <w:left w:val="single" w:sz="2" w:space="0" w:color="auto"/>
              <w:bottom w:val="single" w:sz="4" w:space="0" w:color="auto"/>
              <w:right w:val="nil"/>
            </w:tcBorders>
            <w:vAlign w:val="center"/>
          </w:tcPr>
          <w:p w:rsidR="001B46BD" w:rsidRDefault="00575911">
            <w:pPr>
              <w:ind w:right="-201"/>
              <w:jc w:val="center"/>
            </w:pPr>
            <w:r>
              <w:t>13</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2</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6</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5</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LGO 10-May</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5</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60.5</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1.5</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58.4 - 62.2</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1</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2</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2</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4</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2:30</w:t>
            </w:r>
          </w:p>
        </w:tc>
        <w:tc>
          <w:tcPr>
            <w:tcW w:w="972" w:type="dxa"/>
            <w:tcBorders>
              <w:top w:val="single" w:sz="4" w:space="0" w:color="auto"/>
              <w:left w:val="single" w:sz="4" w:space="0" w:color="auto"/>
              <w:bottom w:val="single" w:sz="4" w:space="0" w:color="auto"/>
              <w:right w:val="single" w:sz="2" w:space="0" w:color="auto"/>
            </w:tcBorders>
            <w:vAlign w:val="center"/>
          </w:tcPr>
          <w:p w:rsidR="001B46BD" w:rsidRDefault="00575911">
            <w:pPr>
              <w:ind w:right="-201"/>
              <w:jc w:val="center"/>
            </w:pPr>
            <w:r>
              <w:t>5</w:t>
            </w:r>
          </w:p>
        </w:tc>
        <w:tc>
          <w:tcPr>
            <w:tcW w:w="828" w:type="dxa"/>
            <w:tcBorders>
              <w:top w:val="single" w:sz="4" w:space="0" w:color="auto"/>
              <w:left w:val="single" w:sz="2" w:space="0" w:color="auto"/>
              <w:bottom w:val="single" w:sz="4" w:space="0" w:color="auto"/>
              <w:right w:val="nil"/>
            </w:tcBorders>
            <w:vAlign w:val="center"/>
          </w:tcPr>
          <w:p w:rsidR="001B46BD" w:rsidRDefault="00575911">
            <w:pPr>
              <w:ind w:right="-201"/>
              <w:jc w:val="center"/>
            </w:pPr>
            <w:r>
              <w:t>4</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3</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LGO 11-May</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3</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61.4</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3.9</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57.2 - 64.8</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2</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2</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22:10</w:t>
            </w:r>
          </w:p>
        </w:tc>
        <w:tc>
          <w:tcPr>
            <w:tcW w:w="972" w:type="dxa"/>
            <w:vMerge w:val="restart"/>
            <w:tcBorders>
              <w:top w:val="single" w:sz="4" w:space="0" w:color="auto"/>
              <w:left w:val="single" w:sz="4" w:space="0" w:color="auto"/>
              <w:right w:val="single" w:sz="2" w:space="0" w:color="auto"/>
            </w:tcBorders>
            <w:vAlign w:val="center"/>
          </w:tcPr>
          <w:p w:rsidR="001B46BD" w:rsidRDefault="00575911">
            <w:pPr>
              <w:ind w:right="-201"/>
              <w:jc w:val="center"/>
            </w:pPr>
            <w:r>
              <w:t>14</w:t>
            </w:r>
          </w:p>
        </w:tc>
        <w:tc>
          <w:tcPr>
            <w:tcW w:w="828" w:type="dxa"/>
            <w:vMerge w:val="restart"/>
            <w:tcBorders>
              <w:top w:val="single" w:sz="4" w:space="0" w:color="auto"/>
              <w:left w:val="single" w:sz="2" w:space="0" w:color="auto"/>
              <w:right w:val="nil"/>
            </w:tcBorders>
            <w:vAlign w:val="center"/>
          </w:tcPr>
          <w:p w:rsidR="001B46BD" w:rsidRDefault="00575911">
            <w:pPr>
              <w:ind w:right="-201"/>
              <w:jc w:val="center"/>
            </w:pPr>
            <w:r>
              <w:t>14</w:t>
            </w:r>
          </w:p>
        </w:tc>
        <w:tc>
          <w:tcPr>
            <w:tcW w:w="667" w:type="dxa"/>
            <w:vMerge w:val="restart"/>
            <w:tcBorders>
              <w:top w:val="single" w:sz="4" w:space="0" w:color="auto"/>
              <w:left w:val="single" w:sz="2" w:space="0" w:color="auto"/>
              <w:right w:val="nil"/>
            </w:tcBorders>
            <w:vAlign w:val="center"/>
          </w:tcPr>
          <w:p w:rsidR="001B46BD" w:rsidRDefault="00575911">
            <w:pPr>
              <w:ind w:right="-720"/>
            </w:pPr>
            <w:r>
              <w:t>3</w:t>
            </w:r>
          </w:p>
        </w:tc>
        <w:tc>
          <w:tcPr>
            <w:tcW w:w="818" w:type="dxa"/>
            <w:vMerge w:val="restart"/>
            <w:tcBorders>
              <w:top w:val="single" w:sz="4" w:space="0" w:color="auto"/>
              <w:left w:val="single" w:sz="2" w:space="0" w:color="auto"/>
              <w:right w:val="single" w:sz="4" w:space="0" w:color="auto"/>
            </w:tcBorders>
            <w:vAlign w:val="center"/>
          </w:tcPr>
          <w:p w:rsidR="001B46BD" w:rsidRDefault="00575911">
            <w:pPr>
              <w:ind w:right="-720"/>
            </w:pPr>
            <w:r>
              <w:t>4</w:t>
            </w:r>
          </w:p>
        </w:tc>
        <w:tc>
          <w:tcPr>
            <w:tcW w:w="675" w:type="dxa"/>
            <w:vMerge w:val="restart"/>
            <w:tcBorders>
              <w:top w:val="single" w:sz="4" w:space="0" w:color="auto"/>
              <w:left w:val="single" w:sz="4" w:space="0" w:color="auto"/>
              <w:right w:val="single" w:sz="4" w:space="0" w:color="auto"/>
            </w:tcBorders>
            <w:vAlign w:val="center"/>
          </w:tcPr>
          <w:p w:rsidR="001B46BD" w:rsidRDefault="00575911">
            <w:pPr>
              <w:ind w:right="-720"/>
            </w:pPr>
            <w:r>
              <w:t>7</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LGR 11-May</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11</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59.3</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3.6</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55.9 - 66.0</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3</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5</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6</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5</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22:10</w:t>
            </w:r>
          </w:p>
        </w:tc>
        <w:tc>
          <w:tcPr>
            <w:tcW w:w="972" w:type="dxa"/>
            <w:vMerge/>
            <w:tcBorders>
              <w:left w:val="single" w:sz="4" w:space="0" w:color="auto"/>
              <w:bottom w:val="single" w:sz="4" w:space="0" w:color="auto"/>
              <w:right w:val="single" w:sz="2" w:space="0" w:color="auto"/>
            </w:tcBorders>
            <w:vAlign w:val="center"/>
          </w:tcPr>
          <w:p w:rsidR="001B46BD" w:rsidRDefault="001B46BD">
            <w:pPr>
              <w:ind w:right="-201"/>
              <w:jc w:val="center"/>
            </w:pPr>
          </w:p>
        </w:tc>
        <w:tc>
          <w:tcPr>
            <w:tcW w:w="828" w:type="dxa"/>
            <w:vMerge/>
            <w:tcBorders>
              <w:left w:val="single" w:sz="2" w:space="0" w:color="auto"/>
              <w:bottom w:val="single" w:sz="4" w:space="0" w:color="auto"/>
              <w:right w:val="nil"/>
            </w:tcBorders>
            <w:vAlign w:val="center"/>
          </w:tcPr>
          <w:p w:rsidR="001B46BD" w:rsidRDefault="001B46BD">
            <w:pPr>
              <w:ind w:right="-201"/>
              <w:jc w:val="center"/>
            </w:pPr>
          </w:p>
        </w:tc>
        <w:tc>
          <w:tcPr>
            <w:tcW w:w="667" w:type="dxa"/>
            <w:vMerge/>
            <w:tcBorders>
              <w:left w:val="single" w:sz="2" w:space="0" w:color="auto"/>
              <w:bottom w:val="single" w:sz="4" w:space="0" w:color="auto"/>
              <w:right w:val="nil"/>
            </w:tcBorders>
            <w:vAlign w:val="center"/>
          </w:tcPr>
          <w:p w:rsidR="001B46BD" w:rsidRDefault="001B46BD">
            <w:pPr>
              <w:ind w:right="-720"/>
            </w:pPr>
          </w:p>
        </w:tc>
        <w:tc>
          <w:tcPr>
            <w:tcW w:w="818" w:type="dxa"/>
            <w:vMerge/>
            <w:tcBorders>
              <w:left w:val="single" w:sz="2" w:space="0" w:color="auto"/>
              <w:bottom w:val="single" w:sz="4" w:space="0" w:color="auto"/>
              <w:right w:val="single" w:sz="4" w:space="0" w:color="auto"/>
            </w:tcBorders>
            <w:vAlign w:val="center"/>
          </w:tcPr>
          <w:p w:rsidR="001B46BD" w:rsidRDefault="001B46BD">
            <w:pPr>
              <w:ind w:right="-720"/>
            </w:pPr>
          </w:p>
        </w:tc>
        <w:tc>
          <w:tcPr>
            <w:tcW w:w="675" w:type="dxa"/>
            <w:vMerge/>
            <w:tcBorders>
              <w:left w:val="single" w:sz="4" w:space="0" w:color="auto"/>
              <w:bottom w:val="single" w:sz="4" w:space="0" w:color="auto"/>
              <w:right w:val="single" w:sz="4" w:space="0" w:color="auto"/>
            </w:tcBorders>
          </w:tcPr>
          <w:p w:rsidR="001B46BD" w:rsidRDefault="001B46BD">
            <w:pPr>
              <w:ind w:right="-720"/>
            </w:pP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LGO 16-May</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2</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69.9</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12.5</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61.0 - 79.0</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1</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20:15</w:t>
            </w:r>
          </w:p>
        </w:tc>
        <w:tc>
          <w:tcPr>
            <w:tcW w:w="972" w:type="dxa"/>
            <w:vMerge w:val="restart"/>
            <w:tcBorders>
              <w:top w:val="single" w:sz="4" w:space="0" w:color="auto"/>
              <w:left w:val="single" w:sz="4" w:space="0" w:color="auto"/>
              <w:right w:val="single" w:sz="2" w:space="0" w:color="auto"/>
            </w:tcBorders>
            <w:vAlign w:val="center"/>
          </w:tcPr>
          <w:p w:rsidR="001B46BD" w:rsidRDefault="00575911">
            <w:pPr>
              <w:ind w:right="-201"/>
              <w:jc w:val="center"/>
            </w:pPr>
            <w:r>
              <w:t>11</w:t>
            </w:r>
          </w:p>
        </w:tc>
        <w:tc>
          <w:tcPr>
            <w:tcW w:w="828" w:type="dxa"/>
            <w:vMerge w:val="restart"/>
            <w:tcBorders>
              <w:top w:val="single" w:sz="4" w:space="0" w:color="auto"/>
              <w:left w:val="single" w:sz="2" w:space="0" w:color="auto"/>
              <w:right w:val="nil"/>
            </w:tcBorders>
            <w:vAlign w:val="center"/>
          </w:tcPr>
          <w:p w:rsidR="001B46BD" w:rsidRDefault="00575911">
            <w:pPr>
              <w:ind w:right="-201"/>
              <w:jc w:val="center"/>
            </w:pPr>
            <w:r>
              <w:t>10</w:t>
            </w:r>
          </w:p>
        </w:tc>
        <w:tc>
          <w:tcPr>
            <w:tcW w:w="667" w:type="dxa"/>
            <w:vMerge w:val="restart"/>
            <w:tcBorders>
              <w:top w:val="single" w:sz="4" w:space="0" w:color="auto"/>
              <w:left w:val="single" w:sz="2" w:space="0" w:color="auto"/>
              <w:right w:val="nil"/>
            </w:tcBorders>
            <w:vAlign w:val="center"/>
          </w:tcPr>
          <w:p w:rsidR="001B46BD" w:rsidRDefault="00575911">
            <w:pPr>
              <w:ind w:right="-720"/>
            </w:pPr>
            <w:r>
              <w:t>3</w:t>
            </w:r>
          </w:p>
        </w:tc>
        <w:tc>
          <w:tcPr>
            <w:tcW w:w="818" w:type="dxa"/>
            <w:vMerge w:val="restart"/>
            <w:tcBorders>
              <w:top w:val="single" w:sz="4" w:space="0" w:color="auto"/>
              <w:left w:val="single" w:sz="2" w:space="0" w:color="auto"/>
              <w:right w:val="single" w:sz="4" w:space="0" w:color="auto"/>
            </w:tcBorders>
            <w:vAlign w:val="center"/>
          </w:tcPr>
          <w:p w:rsidR="001B46BD" w:rsidRDefault="00575911">
            <w:pPr>
              <w:ind w:right="-720"/>
            </w:pPr>
            <w:r>
              <w:t>2</w:t>
            </w:r>
          </w:p>
        </w:tc>
        <w:tc>
          <w:tcPr>
            <w:tcW w:w="675" w:type="dxa"/>
            <w:vMerge w:val="restart"/>
            <w:tcBorders>
              <w:top w:val="single" w:sz="4" w:space="0" w:color="auto"/>
              <w:left w:val="single" w:sz="4" w:space="0" w:color="auto"/>
              <w:right w:val="single" w:sz="4" w:space="0" w:color="auto"/>
            </w:tcBorders>
            <w:vAlign w:val="center"/>
          </w:tcPr>
          <w:p w:rsidR="001B46BD" w:rsidRDefault="00575911">
            <w:pPr>
              <w:ind w:right="-720"/>
            </w:pPr>
            <w:r>
              <w:t>5</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LGR 16-May</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9</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59.1</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2.5</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55.9 - 62.2</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5</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4</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6</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20:15</w:t>
            </w:r>
          </w:p>
        </w:tc>
        <w:tc>
          <w:tcPr>
            <w:tcW w:w="972" w:type="dxa"/>
            <w:vMerge/>
            <w:tcBorders>
              <w:left w:val="single" w:sz="4" w:space="0" w:color="auto"/>
              <w:bottom w:val="single" w:sz="4" w:space="0" w:color="auto"/>
              <w:right w:val="single" w:sz="2" w:space="0" w:color="auto"/>
            </w:tcBorders>
            <w:vAlign w:val="center"/>
          </w:tcPr>
          <w:p w:rsidR="001B46BD" w:rsidRDefault="001B46BD">
            <w:pPr>
              <w:ind w:right="-201"/>
              <w:jc w:val="center"/>
            </w:pPr>
          </w:p>
        </w:tc>
        <w:tc>
          <w:tcPr>
            <w:tcW w:w="828" w:type="dxa"/>
            <w:vMerge/>
            <w:tcBorders>
              <w:left w:val="single" w:sz="2" w:space="0" w:color="auto"/>
              <w:bottom w:val="single" w:sz="4" w:space="0" w:color="auto"/>
              <w:right w:val="nil"/>
            </w:tcBorders>
            <w:vAlign w:val="center"/>
          </w:tcPr>
          <w:p w:rsidR="001B46BD" w:rsidRDefault="001B46BD">
            <w:pPr>
              <w:ind w:right="-201"/>
              <w:jc w:val="center"/>
            </w:pPr>
          </w:p>
        </w:tc>
        <w:tc>
          <w:tcPr>
            <w:tcW w:w="667" w:type="dxa"/>
            <w:vMerge/>
            <w:tcBorders>
              <w:left w:val="single" w:sz="2" w:space="0" w:color="auto"/>
              <w:bottom w:val="single" w:sz="4" w:space="0" w:color="auto"/>
              <w:right w:val="nil"/>
            </w:tcBorders>
            <w:vAlign w:val="center"/>
          </w:tcPr>
          <w:p w:rsidR="001B46BD" w:rsidRDefault="001B46BD">
            <w:pPr>
              <w:ind w:right="-720"/>
            </w:pPr>
          </w:p>
        </w:tc>
        <w:tc>
          <w:tcPr>
            <w:tcW w:w="818" w:type="dxa"/>
            <w:vMerge/>
            <w:tcBorders>
              <w:left w:val="single" w:sz="2" w:space="0" w:color="auto"/>
              <w:bottom w:val="single" w:sz="4" w:space="0" w:color="auto"/>
              <w:right w:val="single" w:sz="4" w:space="0" w:color="auto"/>
            </w:tcBorders>
            <w:vAlign w:val="center"/>
          </w:tcPr>
          <w:p w:rsidR="001B46BD" w:rsidRDefault="001B46BD">
            <w:pPr>
              <w:ind w:right="-720"/>
            </w:pPr>
          </w:p>
        </w:tc>
        <w:tc>
          <w:tcPr>
            <w:tcW w:w="675" w:type="dxa"/>
            <w:vMerge/>
            <w:tcBorders>
              <w:left w:val="single" w:sz="4" w:space="0" w:color="auto"/>
              <w:bottom w:val="single" w:sz="4" w:space="0" w:color="auto"/>
              <w:right w:val="single" w:sz="4" w:space="0" w:color="auto"/>
            </w:tcBorders>
          </w:tcPr>
          <w:p w:rsidR="001B46BD" w:rsidRDefault="001B46BD">
            <w:pPr>
              <w:ind w:right="-720"/>
            </w:pP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LGR 19-May</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pPr>
            <w:r>
              <w:t>17</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64.1</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7.8</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53.3 - 82.6</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5</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9</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12</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5</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 xml:space="preserve">CCL 19:40 </w:t>
            </w:r>
          </w:p>
        </w:tc>
        <w:tc>
          <w:tcPr>
            <w:tcW w:w="972" w:type="dxa"/>
            <w:tcBorders>
              <w:top w:val="single" w:sz="4" w:space="0" w:color="auto"/>
              <w:left w:val="single" w:sz="4" w:space="0" w:color="auto"/>
              <w:bottom w:val="single" w:sz="4" w:space="0" w:color="auto"/>
              <w:right w:val="single" w:sz="2" w:space="0" w:color="auto"/>
            </w:tcBorders>
            <w:vAlign w:val="center"/>
          </w:tcPr>
          <w:p w:rsidR="001B46BD" w:rsidRDefault="00575911">
            <w:pPr>
              <w:ind w:right="-201"/>
              <w:jc w:val="center"/>
            </w:pPr>
            <w:r>
              <w:t>17</w:t>
            </w:r>
          </w:p>
        </w:tc>
        <w:tc>
          <w:tcPr>
            <w:tcW w:w="828" w:type="dxa"/>
            <w:tcBorders>
              <w:top w:val="single" w:sz="4" w:space="0" w:color="auto"/>
              <w:left w:val="single" w:sz="2" w:space="0" w:color="auto"/>
              <w:bottom w:val="single" w:sz="4" w:space="0" w:color="auto"/>
              <w:right w:val="nil"/>
            </w:tcBorders>
            <w:vAlign w:val="center"/>
          </w:tcPr>
          <w:p w:rsidR="001B46BD" w:rsidRDefault="00575911">
            <w:pPr>
              <w:ind w:right="-201"/>
              <w:jc w:val="center"/>
            </w:pPr>
            <w:r>
              <w:t>15</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1</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6</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8</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pPr>
            <w:r>
              <w:t>LGR 23-May</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rPr>
                <w:vertAlign w:val="superscript"/>
              </w:rPr>
            </w:pPr>
            <w:r>
              <w:t>14</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59.7</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pPr>
            <w:r>
              <w:t>3.7</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pPr>
            <w:r>
              <w:t xml:space="preserve"> 55.9 - 69.9</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pPr>
            <w:r>
              <w:t>8</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6</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6</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8</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CCL 19:15</w:t>
            </w:r>
          </w:p>
        </w:tc>
        <w:tc>
          <w:tcPr>
            <w:tcW w:w="972" w:type="dxa"/>
            <w:tcBorders>
              <w:top w:val="single" w:sz="4" w:space="0" w:color="auto"/>
              <w:left w:val="single" w:sz="4" w:space="0" w:color="auto"/>
              <w:bottom w:val="single" w:sz="4" w:space="0" w:color="auto"/>
              <w:right w:val="single" w:sz="2" w:space="0" w:color="auto"/>
            </w:tcBorders>
            <w:vAlign w:val="center"/>
          </w:tcPr>
          <w:p w:rsidR="001B46BD" w:rsidRDefault="00575911">
            <w:pPr>
              <w:ind w:right="-201"/>
              <w:jc w:val="center"/>
            </w:pPr>
            <w:r>
              <w:t>14</w:t>
            </w:r>
          </w:p>
        </w:tc>
        <w:tc>
          <w:tcPr>
            <w:tcW w:w="828" w:type="dxa"/>
            <w:tcBorders>
              <w:top w:val="single" w:sz="4" w:space="0" w:color="auto"/>
              <w:left w:val="single" w:sz="2" w:space="0" w:color="auto"/>
              <w:bottom w:val="single" w:sz="4" w:space="0" w:color="auto"/>
              <w:right w:val="nil"/>
            </w:tcBorders>
            <w:vAlign w:val="center"/>
          </w:tcPr>
          <w:p w:rsidR="001B46BD" w:rsidRDefault="00575911">
            <w:pPr>
              <w:ind w:right="-201"/>
              <w:jc w:val="center"/>
            </w:pPr>
            <w:r>
              <w:t>13</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pPr>
            <w:r>
              <w:t>5</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pPr>
            <w:r>
              <w:t>5</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pPr>
            <w:r>
              <w:t>3</w:t>
            </w:r>
          </w:p>
        </w:tc>
      </w:tr>
      <w:tr w:rsidR="001B46BD">
        <w:trPr>
          <w:cantSplit/>
          <w:trHeight w:val="270"/>
        </w:trPr>
        <w:tc>
          <w:tcPr>
            <w:tcW w:w="1448" w:type="dxa"/>
            <w:tcBorders>
              <w:top w:val="single" w:sz="4" w:space="0" w:color="auto"/>
              <w:left w:val="single" w:sz="4" w:space="0" w:color="auto"/>
              <w:bottom w:val="single" w:sz="4" w:space="0" w:color="auto"/>
              <w:right w:val="single" w:sz="4" w:space="0" w:color="auto"/>
            </w:tcBorders>
          </w:tcPr>
          <w:p w:rsidR="001B46BD" w:rsidRDefault="00575911">
            <w:pPr>
              <w:ind w:right="-720"/>
              <w:rPr>
                <w:b/>
              </w:rPr>
            </w:pPr>
            <w:r>
              <w:rPr>
                <w:b/>
              </w:rPr>
              <w:t xml:space="preserve">       Overall:</w:t>
            </w:r>
          </w:p>
        </w:tc>
        <w:tc>
          <w:tcPr>
            <w:tcW w:w="6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316"/>
              <w:rPr>
                <w:b/>
              </w:rPr>
            </w:pPr>
            <w:r>
              <w:rPr>
                <w:b/>
              </w:rPr>
              <w:t>159</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rPr>
                <w:b/>
              </w:rPr>
            </w:pPr>
            <w:r>
              <w:rPr>
                <w:b/>
              </w:rPr>
              <w:t>63.2</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jc w:val="center"/>
              <w:rPr>
                <w:b/>
              </w:rPr>
            </w:pPr>
            <w:r>
              <w:rPr>
                <w:b/>
              </w:rPr>
              <w:t>7.6</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88"/>
              <w:rPr>
                <w:b/>
              </w:rPr>
            </w:pPr>
            <w:r>
              <w:rPr>
                <w:b/>
              </w:rPr>
              <w:t xml:space="preserve"> 53.3 - 86.4 </w:t>
            </w:r>
          </w:p>
        </w:tc>
        <w:tc>
          <w:tcPr>
            <w:tcW w:w="41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468"/>
              <w:rPr>
                <w:b/>
              </w:rPr>
            </w:pPr>
            <w:r>
              <w:rPr>
                <w:b/>
              </w:rPr>
              <w:t>31</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rPr>
                <w:b/>
              </w:rPr>
            </w:pPr>
            <w:r>
              <w:rPr>
                <w:b/>
              </w:rPr>
              <w:t>76</w:t>
            </w:r>
          </w:p>
        </w:tc>
        <w:tc>
          <w:tcPr>
            <w:tcW w:w="603"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rPr>
                <w:b/>
              </w:rPr>
            </w:pPr>
            <w:r>
              <w:rPr>
                <w:b/>
              </w:rPr>
              <w:t>52</w:t>
            </w:r>
          </w:p>
        </w:tc>
        <w:tc>
          <w:tcPr>
            <w:tcW w:w="5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rPr>
                <w:b/>
              </w:rPr>
            </w:pPr>
            <w:r>
              <w:rPr>
                <w:b/>
              </w:rPr>
              <w:t>95</w:t>
            </w:r>
          </w:p>
        </w:tc>
        <w:tc>
          <w:tcPr>
            <w:tcW w:w="57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rPr>
                <w:b/>
              </w:rPr>
            </w:pPr>
            <w:r>
              <w:rPr>
                <w:b/>
              </w:rPr>
              <w:t>64</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rPr>
                <w:b/>
              </w:rPr>
            </w:pPr>
            <w:r>
              <w:rPr>
                <w:b/>
              </w:rPr>
              <w:t>---</w:t>
            </w:r>
          </w:p>
        </w:tc>
        <w:tc>
          <w:tcPr>
            <w:tcW w:w="972" w:type="dxa"/>
            <w:tcBorders>
              <w:top w:val="single" w:sz="4" w:space="0" w:color="auto"/>
              <w:left w:val="single" w:sz="4" w:space="0" w:color="auto"/>
              <w:bottom w:val="single" w:sz="4" w:space="0" w:color="auto"/>
              <w:right w:val="single" w:sz="2" w:space="0" w:color="auto"/>
            </w:tcBorders>
            <w:vAlign w:val="center"/>
          </w:tcPr>
          <w:p w:rsidR="001B46BD" w:rsidRDefault="00575911">
            <w:pPr>
              <w:ind w:right="-201"/>
              <w:jc w:val="center"/>
              <w:rPr>
                <w:b/>
              </w:rPr>
            </w:pPr>
            <w:r>
              <w:rPr>
                <w:b/>
              </w:rPr>
              <w:t>154</w:t>
            </w:r>
          </w:p>
        </w:tc>
        <w:tc>
          <w:tcPr>
            <w:tcW w:w="828" w:type="dxa"/>
            <w:tcBorders>
              <w:top w:val="single" w:sz="4" w:space="0" w:color="auto"/>
              <w:left w:val="single" w:sz="2" w:space="0" w:color="auto"/>
              <w:bottom w:val="single" w:sz="4" w:space="0" w:color="auto"/>
              <w:right w:val="nil"/>
            </w:tcBorders>
            <w:vAlign w:val="center"/>
          </w:tcPr>
          <w:p w:rsidR="001B46BD" w:rsidRDefault="00575911">
            <w:pPr>
              <w:ind w:right="-201"/>
              <w:jc w:val="center"/>
              <w:rPr>
                <w:b/>
              </w:rPr>
            </w:pPr>
            <w:r>
              <w:rPr>
                <w:b/>
              </w:rPr>
              <w:t>139</w:t>
            </w:r>
          </w:p>
        </w:tc>
        <w:tc>
          <w:tcPr>
            <w:tcW w:w="667" w:type="dxa"/>
            <w:tcBorders>
              <w:top w:val="single" w:sz="4" w:space="0" w:color="auto"/>
              <w:left w:val="single" w:sz="2" w:space="0" w:color="auto"/>
              <w:bottom w:val="single" w:sz="4" w:space="0" w:color="auto"/>
              <w:right w:val="nil"/>
            </w:tcBorders>
            <w:vAlign w:val="center"/>
          </w:tcPr>
          <w:p w:rsidR="001B46BD" w:rsidRDefault="00575911">
            <w:pPr>
              <w:ind w:right="-720"/>
              <w:rPr>
                <w:b/>
              </w:rPr>
            </w:pPr>
            <w:r>
              <w:rPr>
                <w:b/>
              </w:rPr>
              <w:t>29</w:t>
            </w:r>
          </w:p>
        </w:tc>
        <w:tc>
          <w:tcPr>
            <w:tcW w:w="818" w:type="dxa"/>
            <w:tcBorders>
              <w:top w:val="single" w:sz="4" w:space="0" w:color="auto"/>
              <w:left w:val="single" w:sz="2" w:space="0" w:color="auto"/>
              <w:bottom w:val="single" w:sz="4" w:space="0" w:color="auto"/>
              <w:right w:val="single" w:sz="4" w:space="0" w:color="auto"/>
            </w:tcBorders>
            <w:vAlign w:val="center"/>
          </w:tcPr>
          <w:p w:rsidR="001B46BD" w:rsidRDefault="00575911">
            <w:pPr>
              <w:ind w:right="-720"/>
              <w:rPr>
                <w:b/>
              </w:rPr>
            </w:pPr>
            <w:r>
              <w:rPr>
                <w:b/>
              </w:rPr>
              <w:t>55</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rPr>
                <w:b/>
              </w:rPr>
            </w:pPr>
            <w:r>
              <w:rPr>
                <w:b/>
              </w:rPr>
              <w:t>55</w:t>
            </w:r>
          </w:p>
        </w:tc>
      </w:tr>
      <w:tr w:rsidR="001B46BD">
        <w:trPr>
          <w:gridBefore w:val="7"/>
          <w:wBefore w:w="5921" w:type="dxa"/>
          <w:cantSplit/>
          <w:trHeight w:val="270"/>
        </w:trPr>
        <w:tc>
          <w:tcPr>
            <w:tcW w:w="3007" w:type="dxa"/>
            <w:gridSpan w:val="4"/>
            <w:tcBorders>
              <w:top w:val="nil"/>
              <w:left w:val="nil"/>
              <w:bottom w:val="nil"/>
              <w:right w:val="single" w:sz="4" w:space="0" w:color="auto"/>
            </w:tcBorders>
            <w:vAlign w:val="center"/>
          </w:tcPr>
          <w:p w:rsidR="001B46BD" w:rsidRDefault="00575911">
            <w:pPr>
              <w:ind w:right="-720"/>
              <w:rPr>
                <w:b/>
              </w:rPr>
            </w:pPr>
            <w:r>
              <w:rPr>
                <w:b/>
              </w:rPr>
              <w:t xml:space="preserve">              Of number released:</w:t>
            </w:r>
          </w:p>
        </w:tc>
        <w:tc>
          <w:tcPr>
            <w:tcW w:w="972"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01"/>
              <w:jc w:val="center"/>
              <w:rPr>
                <w:b/>
                <w:i/>
              </w:rPr>
            </w:pPr>
            <w:r>
              <w:rPr>
                <w:b/>
                <w:i/>
              </w:rPr>
              <w:t>97%</w:t>
            </w:r>
          </w:p>
        </w:tc>
        <w:tc>
          <w:tcPr>
            <w:tcW w:w="828" w:type="dxa"/>
            <w:tcBorders>
              <w:top w:val="single" w:sz="4" w:space="0" w:color="auto"/>
              <w:left w:val="single" w:sz="4" w:space="0" w:color="auto"/>
              <w:bottom w:val="single" w:sz="4" w:space="0" w:color="auto"/>
              <w:right w:val="single" w:sz="4" w:space="0" w:color="auto"/>
            </w:tcBorders>
            <w:vAlign w:val="center"/>
          </w:tcPr>
          <w:p w:rsidR="001B46BD" w:rsidRDefault="00575911">
            <w:pPr>
              <w:ind w:right="-201"/>
              <w:jc w:val="center"/>
              <w:rPr>
                <w:b/>
                <w:i/>
              </w:rPr>
            </w:pPr>
            <w:r>
              <w:rPr>
                <w:b/>
                <w:i/>
              </w:rPr>
              <w:t>87%</w:t>
            </w:r>
          </w:p>
        </w:tc>
        <w:tc>
          <w:tcPr>
            <w:tcW w:w="667" w:type="dxa"/>
            <w:tcBorders>
              <w:top w:val="single" w:sz="4" w:space="0" w:color="auto"/>
              <w:left w:val="single" w:sz="4" w:space="0" w:color="auto"/>
              <w:bottom w:val="single" w:sz="4" w:space="0" w:color="auto"/>
              <w:right w:val="single" w:sz="4" w:space="0" w:color="auto"/>
            </w:tcBorders>
            <w:vAlign w:val="center"/>
          </w:tcPr>
          <w:p w:rsidR="001B46BD" w:rsidRDefault="001B46BD">
            <w:pPr>
              <w:ind w:right="-720"/>
              <w:rPr>
                <w:b/>
              </w:rPr>
            </w:pPr>
          </w:p>
        </w:tc>
        <w:tc>
          <w:tcPr>
            <w:tcW w:w="818" w:type="dxa"/>
            <w:tcBorders>
              <w:top w:val="single" w:sz="4" w:space="0" w:color="auto"/>
              <w:left w:val="single" w:sz="4" w:space="0" w:color="auto"/>
              <w:bottom w:val="single" w:sz="4" w:space="0" w:color="auto"/>
              <w:right w:val="single" w:sz="4" w:space="0" w:color="auto"/>
            </w:tcBorders>
            <w:vAlign w:val="center"/>
          </w:tcPr>
          <w:p w:rsidR="001B46BD" w:rsidRDefault="001B46BD">
            <w:pPr>
              <w:ind w:right="-720"/>
              <w:rPr>
                <w:b/>
              </w:rPr>
            </w:pP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1B46BD">
            <w:pPr>
              <w:ind w:right="-720"/>
              <w:rPr>
                <w:b/>
              </w:rPr>
            </w:pPr>
          </w:p>
        </w:tc>
      </w:tr>
      <w:tr w:rsidR="001B46BD">
        <w:trPr>
          <w:gridBefore w:val="7"/>
          <w:wBefore w:w="5921" w:type="dxa"/>
          <w:cantSplit/>
          <w:trHeight w:val="270"/>
        </w:trPr>
        <w:tc>
          <w:tcPr>
            <w:tcW w:w="3007" w:type="dxa"/>
            <w:gridSpan w:val="4"/>
            <w:tcBorders>
              <w:top w:val="nil"/>
              <w:left w:val="nil"/>
              <w:bottom w:val="nil"/>
              <w:right w:val="single" w:sz="4" w:space="0" w:color="auto"/>
            </w:tcBorders>
            <w:vAlign w:val="center"/>
          </w:tcPr>
          <w:p w:rsidR="001B46BD" w:rsidRDefault="00575911">
            <w:pPr>
              <w:ind w:right="-720"/>
              <w:rPr>
                <w:b/>
              </w:rPr>
            </w:pPr>
            <w:r>
              <w:rPr>
                <w:b/>
              </w:rPr>
              <w:t>Of full contact at Bonneville:</w:t>
            </w:r>
          </w:p>
        </w:tc>
        <w:tc>
          <w:tcPr>
            <w:tcW w:w="972" w:type="dxa"/>
            <w:tcBorders>
              <w:top w:val="single" w:sz="4" w:space="0" w:color="auto"/>
              <w:left w:val="single" w:sz="4" w:space="0" w:color="auto"/>
              <w:bottom w:val="single" w:sz="4" w:space="0" w:color="auto"/>
              <w:right w:val="single" w:sz="4" w:space="0" w:color="auto"/>
            </w:tcBorders>
            <w:vAlign w:val="center"/>
          </w:tcPr>
          <w:p w:rsidR="001B46BD" w:rsidRDefault="001B46BD">
            <w:pPr>
              <w:ind w:right="-201"/>
              <w:jc w:val="center"/>
              <w:rPr>
                <w:b/>
                <w:i/>
              </w:rPr>
            </w:pPr>
          </w:p>
        </w:tc>
        <w:tc>
          <w:tcPr>
            <w:tcW w:w="828" w:type="dxa"/>
            <w:tcBorders>
              <w:top w:val="single" w:sz="4" w:space="0" w:color="auto"/>
              <w:left w:val="single" w:sz="4" w:space="0" w:color="auto"/>
              <w:bottom w:val="single" w:sz="4" w:space="0" w:color="auto"/>
              <w:right w:val="single" w:sz="4" w:space="0" w:color="auto"/>
            </w:tcBorders>
            <w:vAlign w:val="center"/>
          </w:tcPr>
          <w:p w:rsidR="001B46BD" w:rsidRDefault="001B46BD">
            <w:pPr>
              <w:ind w:right="-201"/>
              <w:jc w:val="center"/>
              <w:rPr>
                <w:b/>
                <w:i/>
              </w:rPr>
            </w:pPr>
          </w:p>
        </w:tc>
        <w:tc>
          <w:tcPr>
            <w:tcW w:w="667"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rPr>
                <w:b/>
                <w:i/>
              </w:rPr>
            </w:pPr>
            <w:r>
              <w:rPr>
                <w:b/>
                <w:i/>
              </w:rPr>
              <w:t>21%</w:t>
            </w:r>
          </w:p>
        </w:tc>
        <w:tc>
          <w:tcPr>
            <w:tcW w:w="818"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rPr>
                <w:b/>
                <w:i/>
              </w:rPr>
            </w:pPr>
            <w:r>
              <w:rPr>
                <w:b/>
                <w:i/>
              </w:rPr>
              <w:t>39.5%</w:t>
            </w:r>
          </w:p>
        </w:tc>
        <w:tc>
          <w:tcPr>
            <w:tcW w:w="675" w:type="dxa"/>
            <w:tcBorders>
              <w:top w:val="single" w:sz="4" w:space="0" w:color="auto"/>
              <w:left w:val="single" w:sz="4" w:space="0" w:color="auto"/>
              <w:bottom w:val="single" w:sz="4" w:space="0" w:color="auto"/>
              <w:right w:val="single" w:sz="4" w:space="0" w:color="auto"/>
            </w:tcBorders>
            <w:vAlign w:val="center"/>
          </w:tcPr>
          <w:p w:rsidR="001B46BD" w:rsidRDefault="00575911">
            <w:pPr>
              <w:ind w:right="-720"/>
              <w:rPr>
                <w:b/>
                <w:i/>
              </w:rPr>
            </w:pPr>
            <w:r>
              <w:rPr>
                <w:b/>
                <w:i/>
              </w:rPr>
              <w:t>39.5%</w:t>
            </w:r>
          </w:p>
        </w:tc>
      </w:tr>
    </w:tbl>
    <w:p w:rsidR="001B46BD" w:rsidRDefault="001B46BD">
      <w:pPr>
        <w:ind w:right="720"/>
        <w:rPr>
          <w:sz w:val="22"/>
        </w:rPr>
      </w:pPr>
    </w:p>
    <w:p w:rsidR="001B46BD" w:rsidRDefault="00575911">
      <w:pPr>
        <w:pStyle w:val="BodyTextIndent"/>
        <w:ind w:firstLine="0"/>
      </w:pPr>
      <w:proofErr w:type="gramStart"/>
      <w:r>
        <w:lastRenderedPageBreak/>
        <w:t>Table 2.</w:t>
      </w:r>
      <w:proofErr w:type="gramEnd"/>
      <w:r>
        <w:t xml:space="preserve">  Summary of the transport and releases of radio-tagged kelts, that occurred between </w:t>
      </w:r>
      <w:r>
        <w:rPr>
          <w:snapToGrid w:val="0"/>
        </w:rPr>
        <w:t xml:space="preserve">30 March and </w:t>
      </w:r>
      <w:r>
        <w:t xml:space="preserve">23 May.  The number contacted at Bonneville (PH II, spillway, PH I), the number of full path kelts (forebay, tailrace, and/or exit station), and the passage distribution.   </w:t>
      </w:r>
    </w:p>
    <w:p w:rsidR="001B46BD" w:rsidRDefault="001B46BD">
      <w:pPr>
        <w:pStyle w:val="BodyTextIndent"/>
        <w:ind w:firstLine="0"/>
      </w:pPr>
    </w:p>
    <w:p w:rsidR="001B46BD" w:rsidRDefault="001B46BD">
      <w:pPr>
        <w:pStyle w:val="BodyTextIndent"/>
        <w:ind w:firstLine="0"/>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548"/>
        <w:gridCol w:w="630"/>
        <w:gridCol w:w="90"/>
        <w:gridCol w:w="1800"/>
        <w:gridCol w:w="1530"/>
        <w:gridCol w:w="90"/>
        <w:gridCol w:w="1440"/>
        <w:gridCol w:w="90"/>
        <w:gridCol w:w="1440"/>
        <w:gridCol w:w="90"/>
        <w:gridCol w:w="1440"/>
        <w:gridCol w:w="90"/>
        <w:gridCol w:w="1440"/>
        <w:gridCol w:w="90"/>
      </w:tblGrid>
      <w:tr w:rsidR="001B46BD">
        <w:tc>
          <w:tcPr>
            <w:tcW w:w="1548" w:type="dxa"/>
            <w:tcBorders>
              <w:top w:val="nil"/>
              <w:left w:val="nil"/>
              <w:bottom w:val="single" w:sz="4" w:space="0" w:color="auto"/>
              <w:right w:val="nil"/>
            </w:tcBorders>
            <w:vAlign w:val="bottom"/>
          </w:tcPr>
          <w:p w:rsidR="001B46BD" w:rsidRDefault="001B46BD">
            <w:pPr>
              <w:jc w:val="center"/>
            </w:pPr>
          </w:p>
          <w:p w:rsidR="001B46BD" w:rsidRDefault="001B46BD">
            <w:pPr>
              <w:jc w:val="center"/>
            </w:pPr>
          </w:p>
          <w:p w:rsidR="001B46BD" w:rsidRDefault="001B46BD">
            <w:pPr>
              <w:jc w:val="center"/>
            </w:pPr>
          </w:p>
          <w:p w:rsidR="001B46BD" w:rsidRDefault="00575911">
            <w:pPr>
              <w:jc w:val="center"/>
              <w:rPr>
                <w:u w:val="single"/>
              </w:rPr>
            </w:pPr>
            <w:r>
              <w:rPr>
                <w:b/>
                <w:u w:val="single"/>
              </w:rPr>
              <w:t>Summary</w:t>
            </w:r>
          </w:p>
        </w:tc>
        <w:tc>
          <w:tcPr>
            <w:tcW w:w="720" w:type="dxa"/>
            <w:gridSpan w:val="2"/>
            <w:tcBorders>
              <w:top w:val="nil"/>
              <w:left w:val="nil"/>
              <w:bottom w:val="single" w:sz="4" w:space="0" w:color="auto"/>
              <w:right w:val="nil"/>
            </w:tcBorders>
            <w:vAlign w:val="bottom"/>
          </w:tcPr>
          <w:p w:rsidR="001B46BD" w:rsidRDefault="00575911">
            <w:pPr>
              <w:pStyle w:val="Heading8"/>
              <w:jc w:val="center"/>
              <w:rPr>
                <w:b/>
                <w:i w:val="0"/>
                <w:iCs w:val="0"/>
                <w:u w:val="single"/>
              </w:rPr>
            </w:pPr>
            <w:r>
              <w:rPr>
                <w:b/>
                <w:i w:val="0"/>
                <w:iCs w:val="0"/>
                <w:u w:val="single"/>
              </w:rPr>
              <w:t>N</w:t>
            </w:r>
          </w:p>
        </w:tc>
        <w:tc>
          <w:tcPr>
            <w:tcW w:w="1800" w:type="dxa"/>
            <w:tcBorders>
              <w:top w:val="nil"/>
              <w:left w:val="nil"/>
              <w:bottom w:val="single" w:sz="4" w:space="0" w:color="auto"/>
              <w:right w:val="nil"/>
            </w:tcBorders>
            <w:vAlign w:val="bottom"/>
          </w:tcPr>
          <w:p w:rsidR="001B46BD" w:rsidRDefault="00575911">
            <w:pPr>
              <w:pStyle w:val="Heading1"/>
              <w:rPr>
                <w:sz w:val="24"/>
                <w:u w:val="single"/>
              </w:rPr>
            </w:pPr>
            <w:r>
              <w:rPr>
                <w:sz w:val="24"/>
                <w:u w:val="single"/>
              </w:rPr>
              <w:t>Passage</w:t>
            </w:r>
          </w:p>
        </w:tc>
        <w:tc>
          <w:tcPr>
            <w:tcW w:w="1620" w:type="dxa"/>
            <w:gridSpan w:val="2"/>
            <w:tcBorders>
              <w:top w:val="nil"/>
              <w:left w:val="nil"/>
              <w:bottom w:val="single" w:sz="4" w:space="0" w:color="auto"/>
              <w:right w:val="nil"/>
            </w:tcBorders>
            <w:vAlign w:val="bottom"/>
          </w:tcPr>
          <w:p w:rsidR="001B46BD" w:rsidRDefault="00575911">
            <w:pPr>
              <w:jc w:val="center"/>
              <w:rPr>
                <w:b/>
                <w:u w:val="single"/>
              </w:rPr>
            </w:pPr>
            <w:r>
              <w:rPr>
                <w:b/>
              </w:rPr>
              <w:t>Contacted in Bonneville</w:t>
            </w:r>
            <w:r>
              <w:rPr>
                <w:b/>
                <w:u w:val="single"/>
              </w:rPr>
              <w:t xml:space="preserve"> Forebays</w:t>
            </w:r>
          </w:p>
        </w:tc>
        <w:tc>
          <w:tcPr>
            <w:tcW w:w="1530" w:type="dxa"/>
            <w:gridSpan w:val="2"/>
            <w:tcBorders>
              <w:top w:val="nil"/>
              <w:left w:val="nil"/>
              <w:bottom w:val="single" w:sz="4" w:space="0" w:color="auto"/>
              <w:right w:val="nil"/>
            </w:tcBorders>
            <w:vAlign w:val="bottom"/>
          </w:tcPr>
          <w:p w:rsidR="001B46BD" w:rsidRDefault="00575911">
            <w:pPr>
              <w:jc w:val="center"/>
              <w:rPr>
                <w:b/>
                <w:u w:val="single"/>
              </w:rPr>
            </w:pPr>
            <w:r>
              <w:rPr>
                <w:b/>
              </w:rPr>
              <w:t xml:space="preserve">Contacted in </w:t>
            </w:r>
            <w:r>
              <w:rPr>
                <w:b/>
                <w:u w:val="single"/>
              </w:rPr>
              <w:t>Bypasses</w:t>
            </w:r>
          </w:p>
        </w:tc>
        <w:tc>
          <w:tcPr>
            <w:tcW w:w="1530" w:type="dxa"/>
            <w:gridSpan w:val="2"/>
            <w:tcBorders>
              <w:top w:val="nil"/>
              <w:left w:val="nil"/>
              <w:bottom w:val="single" w:sz="4" w:space="0" w:color="auto"/>
              <w:right w:val="nil"/>
            </w:tcBorders>
            <w:vAlign w:val="bottom"/>
          </w:tcPr>
          <w:p w:rsidR="001B46BD" w:rsidRDefault="00575911">
            <w:pPr>
              <w:pStyle w:val="Heading1"/>
              <w:jc w:val="both"/>
              <w:rPr>
                <w:bCs/>
                <w:sz w:val="24"/>
              </w:rPr>
            </w:pPr>
            <w:r>
              <w:rPr>
                <w:bCs/>
                <w:sz w:val="24"/>
              </w:rPr>
              <w:t>Contacted in</w:t>
            </w:r>
          </w:p>
          <w:p w:rsidR="001B46BD" w:rsidRDefault="00575911">
            <w:pPr>
              <w:jc w:val="center"/>
              <w:rPr>
                <w:b/>
                <w:u w:val="single"/>
              </w:rPr>
            </w:pPr>
            <w:r>
              <w:rPr>
                <w:b/>
                <w:bCs/>
                <w:u w:val="single"/>
              </w:rPr>
              <w:t>Tailraces</w:t>
            </w:r>
          </w:p>
        </w:tc>
        <w:tc>
          <w:tcPr>
            <w:tcW w:w="1530" w:type="dxa"/>
            <w:gridSpan w:val="2"/>
            <w:tcBorders>
              <w:top w:val="nil"/>
              <w:left w:val="nil"/>
              <w:bottom w:val="single" w:sz="4" w:space="0" w:color="auto"/>
              <w:right w:val="nil"/>
            </w:tcBorders>
            <w:vAlign w:val="bottom"/>
          </w:tcPr>
          <w:p w:rsidR="001B46BD" w:rsidRDefault="00575911">
            <w:pPr>
              <w:jc w:val="center"/>
              <w:rPr>
                <w:b/>
                <w:u w:val="single"/>
              </w:rPr>
            </w:pPr>
            <w:r>
              <w:rPr>
                <w:b/>
              </w:rPr>
              <w:t xml:space="preserve">Contacted at </w:t>
            </w:r>
            <w:r>
              <w:rPr>
                <w:b/>
                <w:u w:val="single"/>
              </w:rPr>
              <w:t>Exits</w:t>
            </w:r>
          </w:p>
        </w:tc>
        <w:tc>
          <w:tcPr>
            <w:tcW w:w="1530" w:type="dxa"/>
            <w:gridSpan w:val="2"/>
            <w:tcBorders>
              <w:top w:val="nil"/>
              <w:left w:val="nil"/>
              <w:bottom w:val="nil"/>
              <w:right w:val="nil"/>
            </w:tcBorders>
            <w:vAlign w:val="bottom"/>
          </w:tcPr>
          <w:p w:rsidR="001B46BD" w:rsidRDefault="00575911">
            <w:pPr>
              <w:pStyle w:val="BodyText"/>
              <w:rPr>
                <w:b/>
                <w:bCs/>
              </w:rPr>
            </w:pPr>
            <w:r>
              <w:rPr>
                <w:b/>
                <w:bCs/>
              </w:rPr>
              <w:t>At Bypasses, Tailraces,</w:t>
            </w:r>
          </w:p>
          <w:p w:rsidR="001B46BD" w:rsidRDefault="00575911">
            <w:pPr>
              <w:pStyle w:val="BodyText"/>
              <w:rPr>
                <w:u w:val="single"/>
              </w:rPr>
            </w:pPr>
            <w:r>
              <w:rPr>
                <w:b/>
                <w:bCs/>
                <w:u w:val="single"/>
              </w:rPr>
              <w:t>and/or Exits</w:t>
            </w:r>
          </w:p>
        </w:tc>
      </w:tr>
      <w:tr w:rsidR="001B46BD">
        <w:trPr>
          <w:gridAfter w:val="1"/>
          <w:wAfter w:w="90" w:type="dxa"/>
          <w:trHeight w:val="720"/>
        </w:trPr>
        <w:tc>
          <w:tcPr>
            <w:tcW w:w="1548" w:type="dxa"/>
            <w:tcBorders>
              <w:top w:val="nil"/>
              <w:left w:val="single" w:sz="4" w:space="0" w:color="auto"/>
              <w:bottom w:val="single" w:sz="4" w:space="0" w:color="auto"/>
              <w:right w:val="single" w:sz="4" w:space="0" w:color="auto"/>
            </w:tcBorders>
            <w:vAlign w:val="center"/>
          </w:tcPr>
          <w:p w:rsidR="001B46BD" w:rsidRDefault="00575911">
            <w:pPr>
              <w:rPr>
                <w:rFonts w:ascii="Arial" w:hAnsi="Arial"/>
                <w:sz w:val="18"/>
              </w:rPr>
            </w:pPr>
            <w:r>
              <w:rPr>
                <w:rFonts w:ascii="Arial" w:hAnsi="Arial"/>
                <w:sz w:val="18"/>
              </w:rPr>
              <w:t>Transported</w:t>
            </w:r>
          </w:p>
          <w:p w:rsidR="001B46BD" w:rsidRDefault="00575911">
            <w:pPr>
              <w:rPr>
                <w:rFonts w:ascii="Arial" w:hAnsi="Arial"/>
                <w:sz w:val="18"/>
              </w:rPr>
            </w:pPr>
            <w:r>
              <w:rPr>
                <w:rFonts w:ascii="Arial" w:hAnsi="Arial"/>
                <w:sz w:val="18"/>
              </w:rPr>
              <w:t>&amp; Released:</w:t>
            </w:r>
          </w:p>
        </w:tc>
        <w:tc>
          <w:tcPr>
            <w:tcW w:w="630" w:type="dxa"/>
            <w:tcBorders>
              <w:top w:val="nil"/>
              <w:left w:val="single" w:sz="4" w:space="0" w:color="auto"/>
              <w:bottom w:val="single" w:sz="4" w:space="0" w:color="auto"/>
              <w:right w:val="single" w:sz="4" w:space="0" w:color="auto"/>
            </w:tcBorders>
            <w:vAlign w:val="center"/>
          </w:tcPr>
          <w:p w:rsidR="001B46BD" w:rsidRDefault="00575911">
            <w:pPr>
              <w:jc w:val="center"/>
            </w:pPr>
            <w:r>
              <w:t>159</w:t>
            </w:r>
          </w:p>
        </w:tc>
        <w:tc>
          <w:tcPr>
            <w:tcW w:w="1890" w:type="dxa"/>
            <w:gridSpan w:val="2"/>
            <w:tcBorders>
              <w:top w:val="nil"/>
              <w:left w:val="single" w:sz="4" w:space="0" w:color="auto"/>
              <w:bottom w:val="nil"/>
              <w:right w:val="single" w:sz="4" w:space="0" w:color="auto"/>
            </w:tcBorders>
            <w:vAlign w:val="center"/>
          </w:tcPr>
          <w:p w:rsidR="001B46BD" w:rsidRDefault="00575911">
            <w:pPr>
              <w:pStyle w:val="Heading8"/>
              <w:rPr>
                <w:i w:val="0"/>
                <w:iCs w:val="0"/>
              </w:rPr>
            </w:pPr>
            <w:r>
              <w:rPr>
                <w:i w:val="0"/>
                <w:iCs w:val="0"/>
              </w:rPr>
              <w:t>All Routes</w:t>
            </w:r>
          </w:p>
        </w:tc>
        <w:tc>
          <w:tcPr>
            <w:tcW w:w="1530" w:type="dxa"/>
            <w:tcBorders>
              <w:top w:val="nil"/>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91% (145/159)</w:t>
            </w:r>
          </w:p>
        </w:tc>
        <w:tc>
          <w:tcPr>
            <w:tcW w:w="1530" w:type="dxa"/>
            <w:gridSpan w:val="2"/>
            <w:tcBorders>
              <w:top w:val="nil"/>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9% (15/159)</w:t>
            </w:r>
          </w:p>
        </w:tc>
        <w:tc>
          <w:tcPr>
            <w:tcW w:w="1530" w:type="dxa"/>
            <w:gridSpan w:val="2"/>
            <w:tcBorders>
              <w:top w:val="nil"/>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69% (110/159)</w:t>
            </w:r>
          </w:p>
        </w:tc>
        <w:tc>
          <w:tcPr>
            <w:tcW w:w="1530" w:type="dxa"/>
            <w:gridSpan w:val="2"/>
            <w:tcBorders>
              <w:top w:val="nil"/>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82% (131/159)</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93% (148/159)</w:t>
            </w:r>
          </w:p>
        </w:tc>
      </w:tr>
      <w:tr w:rsidR="001B46BD">
        <w:trPr>
          <w:gridAfter w:val="1"/>
          <w:wAfter w:w="90" w:type="dxa"/>
          <w:cantSplit/>
          <w:trHeight w:val="432"/>
        </w:trPr>
        <w:tc>
          <w:tcPr>
            <w:tcW w:w="1548" w:type="dxa"/>
            <w:vMerge w:val="restart"/>
            <w:tcBorders>
              <w:top w:val="single" w:sz="4" w:space="0" w:color="auto"/>
              <w:left w:val="single" w:sz="4" w:space="0" w:color="auto"/>
              <w:right w:val="single" w:sz="4" w:space="0" w:color="auto"/>
            </w:tcBorders>
            <w:vAlign w:val="center"/>
          </w:tcPr>
          <w:p w:rsidR="001B46BD" w:rsidRDefault="00575911">
            <w:pPr>
              <w:rPr>
                <w:rFonts w:ascii="Arial" w:hAnsi="Arial"/>
                <w:sz w:val="18"/>
              </w:rPr>
            </w:pPr>
            <w:r>
              <w:rPr>
                <w:rFonts w:ascii="Arial" w:hAnsi="Arial"/>
                <w:sz w:val="18"/>
              </w:rPr>
              <w:t>No Contact:</w:t>
            </w:r>
          </w:p>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2</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seen upriver only</w:t>
            </w:r>
          </w:p>
        </w:tc>
        <w:tc>
          <w:tcPr>
            <w:tcW w:w="15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r>
      <w:tr w:rsidR="001B46BD">
        <w:trPr>
          <w:gridAfter w:val="1"/>
          <w:wAfter w:w="90" w:type="dxa"/>
          <w:cantSplit/>
          <w:trHeight w:val="432"/>
        </w:trPr>
        <w:tc>
          <w:tcPr>
            <w:tcW w:w="1548" w:type="dxa"/>
            <w:vMerge/>
            <w:tcBorders>
              <w:left w:val="single" w:sz="4" w:space="0" w:color="auto"/>
              <w:right w:val="single" w:sz="4" w:space="0" w:color="auto"/>
            </w:tcBorders>
            <w:vAlign w:val="center"/>
          </w:tcPr>
          <w:p w:rsidR="001B46BD" w:rsidRDefault="001B46BD">
            <w:pPr>
              <w:rPr>
                <w:rFonts w:ascii="Arial" w:hAnsi="Arial"/>
                <w:sz w:val="18"/>
              </w:rPr>
            </w:pPr>
          </w:p>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3</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No data</w:t>
            </w:r>
          </w:p>
        </w:tc>
        <w:tc>
          <w:tcPr>
            <w:tcW w:w="15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r>
      <w:tr w:rsidR="001B46BD">
        <w:trPr>
          <w:gridAfter w:val="1"/>
          <w:wAfter w:w="90" w:type="dxa"/>
          <w:cantSplit/>
        </w:trPr>
        <w:tc>
          <w:tcPr>
            <w:tcW w:w="1548" w:type="dxa"/>
            <w:vMerge w:val="restart"/>
            <w:tcBorders>
              <w:top w:val="single" w:sz="4" w:space="0" w:color="auto"/>
              <w:left w:val="single" w:sz="4" w:space="0" w:color="auto"/>
              <w:right w:val="single" w:sz="4" w:space="0" w:color="auto"/>
            </w:tcBorders>
            <w:vAlign w:val="center"/>
          </w:tcPr>
          <w:p w:rsidR="001B46BD" w:rsidRDefault="00575911">
            <w:pPr>
              <w:rPr>
                <w:rFonts w:ascii="Arial" w:hAnsi="Arial"/>
                <w:sz w:val="18"/>
              </w:rPr>
            </w:pPr>
            <w:r>
              <w:rPr>
                <w:rFonts w:ascii="Arial" w:hAnsi="Arial"/>
                <w:sz w:val="18"/>
              </w:rPr>
              <w:t>Contacted</w:t>
            </w:r>
          </w:p>
          <w:p w:rsidR="001B46BD" w:rsidRDefault="00575911">
            <w:pPr>
              <w:rPr>
                <w:rFonts w:ascii="Arial" w:hAnsi="Arial"/>
                <w:sz w:val="18"/>
              </w:rPr>
            </w:pPr>
            <w:r>
              <w:rPr>
                <w:rFonts w:ascii="Arial" w:hAnsi="Arial"/>
                <w:sz w:val="18"/>
              </w:rPr>
              <w:t>At Bonneville</w:t>
            </w:r>
          </w:p>
        </w:tc>
        <w:tc>
          <w:tcPr>
            <w:tcW w:w="630" w:type="dxa"/>
            <w:tcBorders>
              <w:top w:val="single" w:sz="4" w:space="0" w:color="auto"/>
              <w:left w:val="single" w:sz="4" w:space="0" w:color="auto"/>
              <w:bottom w:val="nil"/>
              <w:right w:val="single" w:sz="4" w:space="0" w:color="auto"/>
            </w:tcBorders>
            <w:vAlign w:val="center"/>
          </w:tcPr>
          <w:p w:rsidR="001B46BD" w:rsidRDefault="001B46BD">
            <w:pPr>
              <w:jc w:val="center"/>
            </w:pPr>
          </w:p>
        </w:tc>
        <w:tc>
          <w:tcPr>
            <w:tcW w:w="1890" w:type="dxa"/>
            <w:gridSpan w:val="2"/>
            <w:tcBorders>
              <w:top w:val="single" w:sz="4" w:space="0" w:color="auto"/>
              <w:left w:val="single" w:sz="4" w:space="0" w:color="auto"/>
              <w:bottom w:val="nil"/>
              <w:right w:val="single" w:sz="4" w:space="0" w:color="auto"/>
            </w:tcBorders>
            <w:vAlign w:val="center"/>
          </w:tcPr>
          <w:p w:rsidR="001B46BD" w:rsidRDefault="001B46BD">
            <w:pPr>
              <w:jc w:val="center"/>
              <w:rPr>
                <w:rFonts w:ascii="Arial" w:hAnsi="Arial"/>
                <w:sz w:val="18"/>
              </w:rPr>
            </w:pPr>
          </w:p>
        </w:tc>
        <w:tc>
          <w:tcPr>
            <w:tcW w:w="1530" w:type="dxa"/>
            <w:tcBorders>
              <w:top w:val="single" w:sz="4" w:space="0" w:color="auto"/>
              <w:left w:val="single" w:sz="4" w:space="0" w:color="auto"/>
              <w:bottom w:val="nil"/>
              <w:right w:val="single" w:sz="4" w:space="0" w:color="auto"/>
            </w:tcBorders>
            <w:vAlign w:val="center"/>
          </w:tcPr>
          <w:p w:rsidR="001B46BD" w:rsidRDefault="001B46BD">
            <w:pPr>
              <w:jc w:val="center"/>
              <w:rPr>
                <w:rFonts w:ascii="Arial" w:hAnsi="Arial"/>
                <w:sz w:val="18"/>
              </w:rPr>
            </w:pPr>
          </w:p>
        </w:tc>
        <w:tc>
          <w:tcPr>
            <w:tcW w:w="1530" w:type="dxa"/>
            <w:gridSpan w:val="2"/>
            <w:tcBorders>
              <w:top w:val="single" w:sz="4" w:space="0" w:color="auto"/>
              <w:left w:val="single" w:sz="4" w:space="0" w:color="auto"/>
              <w:bottom w:val="nil"/>
              <w:right w:val="single" w:sz="4" w:space="0" w:color="auto"/>
            </w:tcBorders>
            <w:vAlign w:val="center"/>
          </w:tcPr>
          <w:p w:rsidR="001B46BD" w:rsidRDefault="001B46BD">
            <w:pPr>
              <w:jc w:val="center"/>
              <w:rPr>
                <w:rFonts w:ascii="Arial" w:hAnsi="Arial"/>
                <w:sz w:val="18"/>
              </w:rPr>
            </w:pPr>
          </w:p>
        </w:tc>
        <w:tc>
          <w:tcPr>
            <w:tcW w:w="1530" w:type="dxa"/>
            <w:gridSpan w:val="2"/>
            <w:tcBorders>
              <w:top w:val="single" w:sz="4" w:space="0" w:color="auto"/>
              <w:left w:val="single" w:sz="4" w:space="0" w:color="auto"/>
              <w:bottom w:val="nil"/>
              <w:right w:val="single" w:sz="4" w:space="0" w:color="auto"/>
            </w:tcBorders>
            <w:vAlign w:val="center"/>
          </w:tcPr>
          <w:p w:rsidR="001B46BD" w:rsidRDefault="001B46BD">
            <w:pPr>
              <w:jc w:val="center"/>
              <w:rPr>
                <w:rFonts w:ascii="Arial" w:hAnsi="Arial"/>
                <w:sz w:val="18"/>
              </w:rPr>
            </w:pPr>
          </w:p>
        </w:tc>
        <w:tc>
          <w:tcPr>
            <w:tcW w:w="1530" w:type="dxa"/>
            <w:gridSpan w:val="2"/>
            <w:tcBorders>
              <w:top w:val="single" w:sz="4" w:space="0" w:color="auto"/>
              <w:left w:val="single" w:sz="4" w:space="0" w:color="auto"/>
              <w:bottom w:val="nil"/>
              <w:right w:val="single" w:sz="4" w:space="0" w:color="auto"/>
            </w:tcBorders>
            <w:vAlign w:val="center"/>
          </w:tcPr>
          <w:p w:rsidR="001B46BD" w:rsidRDefault="001B46BD">
            <w:pPr>
              <w:jc w:val="center"/>
              <w:rPr>
                <w:rFonts w:ascii="Arial" w:hAnsi="Arial"/>
                <w:sz w:val="18"/>
              </w:rPr>
            </w:pPr>
          </w:p>
        </w:tc>
        <w:tc>
          <w:tcPr>
            <w:tcW w:w="1530" w:type="dxa"/>
            <w:gridSpan w:val="2"/>
            <w:tcBorders>
              <w:top w:val="single" w:sz="4" w:space="0" w:color="auto"/>
              <w:left w:val="single" w:sz="4" w:space="0" w:color="auto"/>
              <w:bottom w:val="nil"/>
              <w:right w:val="single" w:sz="4" w:space="0" w:color="auto"/>
            </w:tcBorders>
            <w:vAlign w:val="center"/>
          </w:tcPr>
          <w:p w:rsidR="001B46BD" w:rsidRDefault="001B46BD">
            <w:pPr>
              <w:jc w:val="center"/>
              <w:rPr>
                <w:rFonts w:ascii="Arial" w:hAnsi="Arial"/>
                <w:sz w:val="18"/>
              </w:rPr>
            </w:pPr>
          </w:p>
        </w:tc>
      </w:tr>
      <w:tr w:rsidR="001B46BD">
        <w:trPr>
          <w:gridAfter w:val="1"/>
          <w:wAfter w:w="90" w:type="dxa"/>
          <w:cantSplit/>
        </w:trPr>
        <w:tc>
          <w:tcPr>
            <w:tcW w:w="1548" w:type="dxa"/>
            <w:vMerge/>
            <w:tcBorders>
              <w:left w:val="single" w:sz="4" w:space="0" w:color="auto"/>
              <w:right w:val="single" w:sz="4" w:space="0" w:color="auto"/>
            </w:tcBorders>
            <w:vAlign w:val="center"/>
          </w:tcPr>
          <w:p w:rsidR="001B46BD" w:rsidRDefault="001B46BD">
            <w:pPr>
              <w:rPr>
                <w:rFonts w:ascii="Arial" w:hAnsi="Arial"/>
                <w:sz w:val="18"/>
              </w:rPr>
            </w:pPr>
          </w:p>
        </w:tc>
        <w:tc>
          <w:tcPr>
            <w:tcW w:w="630" w:type="dxa"/>
            <w:tcBorders>
              <w:top w:val="nil"/>
              <w:left w:val="single" w:sz="4" w:space="0" w:color="auto"/>
              <w:bottom w:val="nil"/>
              <w:right w:val="single" w:sz="4" w:space="0" w:color="auto"/>
            </w:tcBorders>
            <w:vAlign w:val="center"/>
          </w:tcPr>
          <w:p w:rsidR="001B46BD" w:rsidRDefault="00575911">
            <w:pPr>
              <w:jc w:val="center"/>
            </w:pPr>
            <w:r>
              <w:t>154</w:t>
            </w:r>
          </w:p>
        </w:tc>
        <w:tc>
          <w:tcPr>
            <w:tcW w:w="1890" w:type="dxa"/>
            <w:gridSpan w:val="2"/>
            <w:tcBorders>
              <w:top w:val="nil"/>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97% (154/159)</w:t>
            </w:r>
          </w:p>
        </w:tc>
        <w:tc>
          <w:tcPr>
            <w:tcW w:w="1530" w:type="dxa"/>
            <w:tcBorders>
              <w:top w:val="nil"/>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94% (145/154)</w:t>
            </w:r>
          </w:p>
        </w:tc>
        <w:tc>
          <w:tcPr>
            <w:tcW w:w="1530" w:type="dxa"/>
            <w:gridSpan w:val="2"/>
            <w:tcBorders>
              <w:top w:val="nil"/>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10% (15/154)</w:t>
            </w:r>
          </w:p>
        </w:tc>
        <w:tc>
          <w:tcPr>
            <w:tcW w:w="1530" w:type="dxa"/>
            <w:gridSpan w:val="2"/>
            <w:tcBorders>
              <w:top w:val="nil"/>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71% (110/154)</w:t>
            </w:r>
          </w:p>
        </w:tc>
        <w:tc>
          <w:tcPr>
            <w:tcW w:w="1530" w:type="dxa"/>
            <w:gridSpan w:val="2"/>
            <w:tcBorders>
              <w:top w:val="nil"/>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85% (131/154)</w:t>
            </w:r>
          </w:p>
        </w:tc>
        <w:tc>
          <w:tcPr>
            <w:tcW w:w="1530" w:type="dxa"/>
            <w:gridSpan w:val="2"/>
            <w:tcBorders>
              <w:top w:val="nil"/>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96% (148/154)</w:t>
            </w:r>
          </w:p>
        </w:tc>
      </w:tr>
      <w:tr w:rsidR="001B46BD">
        <w:trPr>
          <w:gridAfter w:val="1"/>
          <w:wAfter w:w="90" w:type="dxa"/>
          <w:cantSplit/>
        </w:trPr>
        <w:tc>
          <w:tcPr>
            <w:tcW w:w="1548" w:type="dxa"/>
            <w:vMerge/>
            <w:tcBorders>
              <w:left w:val="single" w:sz="4" w:space="0" w:color="auto"/>
              <w:bottom w:val="single" w:sz="4" w:space="0" w:color="auto"/>
              <w:right w:val="single" w:sz="4" w:space="0" w:color="auto"/>
            </w:tcBorders>
            <w:vAlign w:val="center"/>
          </w:tcPr>
          <w:p w:rsidR="001B46BD" w:rsidRDefault="001B46BD">
            <w:pPr>
              <w:rPr>
                <w:rFonts w:ascii="Arial" w:hAnsi="Arial"/>
                <w:sz w:val="18"/>
              </w:rPr>
            </w:pPr>
          </w:p>
        </w:tc>
        <w:tc>
          <w:tcPr>
            <w:tcW w:w="630" w:type="dxa"/>
            <w:tcBorders>
              <w:top w:val="nil"/>
              <w:left w:val="single" w:sz="4" w:space="0" w:color="auto"/>
              <w:bottom w:val="single" w:sz="4" w:space="0" w:color="auto"/>
              <w:right w:val="single" w:sz="4" w:space="0" w:color="auto"/>
            </w:tcBorders>
            <w:vAlign w:val="center"/>
          </w:tcPr>
          <w:p w:rsidR="001B46BD" w:rsidRDefault="001B46BD">
            <w:pPr>
              <w:jc w:val="center"/>
            </w:pPr>
          </w:p>
        </w:tc>
        <w:tc>
          <w:tcPr>
            <w:tcW w:w="1890" w:type="dxa"/>
            <w:gridSpan w:val="2"/>
            <w:tcBorders>
              <w:top w:val="nil"/>
              <w:left w:val="single" w:sz="4" w:space="0" w:color="auto"/>
              <w:bottom w:val="single" w:sz="4" w:space="0" w:color="auto"/>
              <w:right w:val="single" w:sz="4" w:space="0" w:color="auto"/>
            </w:tcBorders>
            <w:vAlign w:val="center"/>
          </w:tcPr>
          <w:p w:rsidR="001B46BD" w:rsidRDefault="001B46BD">
            <w:pPr>
              <w:jc w:val="center"/>
              <w:rPr>
                <w:rFonts w:ascii="Arial" w:hAnsi="Arial"/>
                <w:sz w:val="18"/>
              </w:rPr>
            </w:pPr>
          </w:p>
        </w:tc>
        <w:tc>
          <w:tcPr>
            <w:tcW w:w="1530" w:type="dxa"/>
            <w:tcBorders>
              <w:top w:val="nil"/>
              <w:left w:val="single" w:sz="4" w:space="0" w:color="auto"/>
              <w:bottom w:val="single" w:sz="4" w:space="0" w:color="auto"/>
              <w:right w:val="single" w:sz="4" w:space="0" w:color="auto"/>
            </w:tcBorders>
            <w:vAlign w:val="center"/>
          </w:tcPr>
          <w:p w:rsidR="001B46BD" w:rsidRDefault="001B46BD">
            <w:pPr>
              <w:jc w:val="center"/>
              <w:rPr>
                <w:rFonts w:ascii="Arial" w:hAnsi="Arial"/>
                <w:sz w:val="18"/>
              </w:rPr>
            </w:pPr>
          </w:p>
        </w:tc>
        <w:tc>
          <w:tcPr>
            <w:tcW w:w="1530" w:type="dxa"/>
            <w:gridSpan w:val="2"/>
            <w:tcBorders>
              <w:top w:val="nil"/>
              <w:left w:val="single" w:sz="4" w:space="0" w:color="auto"/>
              <w:bottom w:val="single" w:sz="4" w:space="0" w:color="auto"/>
              <w:right w:val="single" w:sz="4" w:space="0" w:color="auto"/>
            </w:tcBorders>
            <w:vAlign w:val="center"/>
          </w:tcPr>
          <w:p w:rsidR="001B46BD" w:rsidRDefault="001B46BD">
            <w:pPr>
              <w:jc w:val="center"/>
              <w:rPr>
                <w:rFonts w:ascii="Arial" w:hAnsi="Arial"/>
                <w:sz w:val="18"/>
              </w:rPr>
            </w:pPr>
          </w:p>
        </w:tc>
        <w:tc>
          <w:tcPr>
            <w:tcW w:w="1530" w:type="dxa"/>
            <w:gridSpan w:val="2"/>
            <w:tcBorders>
              <w:top w:val="nil"/>
              <w:left w:val="single" w:sz="4" w:space="0" w:color="auto"/>
              <w:bottom w:val="single" w:sz="4" w:space="0" w:color="auto"/>
              <w:right w:val="single" w:sz="4" w:space="0" w:color="auto"/>
            </w:tcBorders>
            <w:vAlign w:val="center"/>
          </w:tcPr>
          <w:p w:rsidR="001B46BD" w:rsidRDefault="001B46BD">
            <w:pPr>
              <w:jc w:val="center"/>
              <w:rPr>
                <w:rFonts w:ascii="Arial" w:hAnsi="Arial"/>
                <w:sz w:val="18"/>
              </w:rPr>
            </w:pPr>
          </w:p>
        </w:tc>
        <w:tc>
          <w:tcPr>
            <w:tcW w:w="1530" w:type="dxa"/>
            <w:gridSpan w:val="2"/>
            <w:tcBorders>
              <w:top w:val="nil"/>
              <w:left w:val="single" w:sz="4" w:space="0" w:color="auto"/>
              <w:bottom w:val="single" w:sz="4" w:space="0" w:color="auto"/>
              <w:right w:val="single" w:sz="4" w:space="0" w:color="auto"/>
            </w:tcBorders>
            <w:vAlign w:val="center"/>
          </w:tcPr>
          <w:p w:rsidR="001B46BD" w:rsidRDefault="001B46BD">
            <w:pPr>
              <w:jc w:val="center"/>
              <w:rPr>
                <w:rFonts w:ascii="Arial" w:hAnsi="Arial"/>
                <w:sz w:val="18"/>
              </w:rPr>
            </w:pPr>
          </w:p>
        </w:tc>
        <w:tc>
          <w:tcPr>
            <w:tcW w:w="1530" w:type="dxa"/>
            <w:gridSpan w:val="2"/>
            <w:tcBorders>
              <w:top w:val="nil"/>
              <w:left w:val="single" w:sz="4" w:space="0" w:color="auto"/>
              <w:bottom w:val="single" w:sz="4" w:space="0" w:color="auto"/>
              <w:right w:val="single" w:sz="4" w:space="0" w:color="auto"/>
            </w:tcBorders>
            <w:vAlign w:val="center"/>
          </w:tcPr>
          <w:p w:rsidR="001B46BD" w:rsidRDefault="001B46BD">
            <w:pPr>
              <w:jc w:val="center"/>
              <w:rPr>
                <w:rFonts w:ascii="Arial" w:hAnsi="Arial"/>
                <w:sz w:val="18"/>
              </w:rPr>
            </w:pPr>
          </w:p>
        </w:tc>
      </w:tr>
      <w:tr w:rsidR="001B46BD">
        <w:trPr>
          <w:gridAfter w:val="1"/>
          <w:wAfter w:w="90" w:type="dxa"/>
          <w:cantSplit/>
          <w:trHeight w:val="432"/>
        </w:trPr>
        <w:tc>
          <w:tcPr>
            <w:tcW w:w="1548" w:type="dxa"/>
            <w:vMerge w:val="restart"/>
            <w:tcBorders>
              <w:top w:val="nil"/>
              <w:left w:val="single" w:sz="4" w:space="0" w:color="auto"/>
              <w:right w:val="single" w:sz="4" w:space="0" w:color="auto"/>
            </w:tcBorders>
            <w:vAlign w:val="center"/>
          </w:tcPr>
          <w:p w:rsidR="001B46BD" w:rsidRDefault="00575911">
            <w:pPr>
              <w:tabs>
                <w:tab w:val="left" w:pos="2052"/>
              </w:tabs>
              <w:ind w:right="432"/>
              <w:rPr>
                <w:rFonts w:ascii="Arial" w:hAnsi="Arial"/>
                <w:sz w:val="18"/>
              </w:rPr>
            </w:pPr>
            <w:r>
              <w:rPr>
                <w:rFonts w:ascii="Arial" w:hAnsi="Arial"/>
                <w:sz w:val="18"/>
              </w:rPr>
              <w:t>Partial Path:</w:t>
            </w:r>
          </w:p>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6</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Last contact forebay</w:t>
            </w:r>
          </w:p>
        </w:tc>
        <w:tc>
          <w:tcPr>
            <w:tcW w:w="1530" w:type="dxa"/>
            <w:tcBorders>
              <w:top w:val="nil"/>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nil"/>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nil"/>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nil"/>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nil"/>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r>
      <w:tr w:rsidR="001B46BD">
        <w:trPr>
          <w:gridAfter w:val="1"/>
          <w:wAfter w:w="90" w:type="dxa"/>
          <w:cantSplit/>
          <w:trHeight w:val="432"/>
        </w:trPr>
        <w:tc>
          <w:tcPr>
            <w:tcW w:w="1548" w:type="dxa"/>
            <w:vMerge/>
            <w:tcBorders>
              <w:left w:val="single" w:sz="4" w:space="0" w:color="auto"/>
              <w:bottom w:val="nil"/>
              <w:right w:val="single" w:sz="4" w:space="0" w:color="auto"/>
            </w:tcBorders>
            <w:vAlign w:val="center"/>
          </w:tcPr>
          <w:p w:rsidR="001B46BD" w:rsidRDefault="001B46BD">
            <w:pPr>
              <w:rPr>
                <w:rFonts w:ascii="Arial" w:hAnsi="Arial"/>
                <w:sz w:val="18"/>
              </w:rPr>
            </w:pPr>
          </w:p>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First contact below Bonneville Dam</w:t>
            </w:r>
          </w:p>
        </w:tc>
        <w:tc>
          <w:tcPr>
            <w:tcW w:w="1530" w:type="dxa"/>
            <w:tcBorders>
              <w:top w:val="single" w:sz="4" w:space="0" w:color="auto"/>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22% (2/9)</w:t>
            </w:r>
          </w:p>
        </w:tc>
        <w:tc>
          <w:tcPr>
            <w:tcW w:w="1530" w:type="dxa"/>
            <w:gridSpan w:val="2"/>
            <w:tcBorders>
              <w:top w:val="single" w:sz="4" w:space="0" w:color="auto"/>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78% (7/9)</w:t>
            </w:r>
          </w:p>
        </w:tc>
        <w:tc>
          <w:tcPr>
            <w:tcW w:w="1530" w:type="dxa"/>
            <w:gridSpan w:val="2"/>
            <w:tcBorders>
              <w:top w:val="single" w:sz="4" w:space="0" w:color="auto"/>
              <w:left w:val="single" w:sz="4" w:space="0" w:color="auto"/>
              <w:bottom w:val="nil"/>
              <w:right w:val="single" w:sz="4" w:space="0" w:color="auto"/>
            </w:tcBorders>
            <w:vAlign w:val="center"/>
          </w:tcPr>
          <w:p w:rsidR="001B46BD" w:rsidRDefault="00575911">
            <w:pPr>
              <w:jc w:val="center"/>
              <w:rPr>
                <w:rFonts w:ascii="Arial" w:hAnsi="Arial"/>
                <w:sz w:val="18"/>
              </w:rPr>
            </w:pPr>
            <w:r>
              <w:rPr>
                <w:rFonts w:ascii="Arial" w:hAnsi="Arial"/>
                <w:sz w:val="18"/>
              </w:rPr>
              <w:t>100%</w:t>
            </w:r>
          </w:p>
        </w:tc>
      </w:tr>
      <w:tr w:rsidR="001B46BD">
        <w:trPr>
          <w:gridAfter w:val="1"/>
          <w:wAfter w:w="90" w:type="dxa"/>
          <w:trHeight w:val="432"/>
        </w:trPr>
        <w:tc>
          <w:tcPr>
            <w:tcW w:w="1548" w:type="dxa"/>
            <w:tcBorders>
              <w:top w:val="single" w:sz="4" w:space="0" w:color="auto"/>
              <w:left w:val="single" w:sz="4" w:space="0" w:color="auto"/>
              <w:bottom w:val="nil"/>
              <w:right w:val="single" w:sz="4" w:space="0" w:color="auto"/>
            </w:tcBorders>
            <w:vAlign w:val="center"/>
          </w:tcPr>
          <w:p w:rsidR="001B46BD" w:rsidRDefault="00575911">
            <w:pPr>
              <w:rPr>
                <w:rFonts w:ascii="Arial" w:hAnsi="Arial"/>
                <w:sz w:val="18"/>
              </w:rPr>
            </w:pPr>
            <w:r>
              <w:rPr>
                <w:rFonts w:ascii="Arial" w:hAnsi="Arial"/>
                <w:sz w:val="18"/>
              </w:rPr>
              <w:t>Full Path:</w:t>
            </w:r>
          </w:p>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139</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u w:val="single"/>
              </w:rPr>
            </w:pPr>
            <w:r>
              <w:rPr>
                <w:rFonts w:ascii="Arial" w:hAnsi="Arial"/>
                <w:sz w:val="18"/>
                <w:u w:val="single"/>
              </w:rPr>
              <w:t>Summary</w:t>
            </w:r>
          </w:p>
        </w:tc>
        <w:tc>
          <w:tcPr>
            <w:tcW w:w="15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11% (15/139)</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78% (108/139)</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89% (124/139)</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r>
      <w:tr w:rsidR="001B46BD">
        <w:trPr>
          <w:gridAfter w:val="1"/>
          <w:wAfter w:w="90" w:type="dxa"/>
        </w:trPr>
        <w:tc>
          <w:tcPr>
            <w:tcW w:w="1548" w:type="dxa"/>
            <w:tcBorders>
              <w:top w:val="nil"/>
              <w:left w:val="single" w:sz="4" w:space="0" w:color="auto"/>
              <w:bottom w:val="nil"/>
              <w:right w:val="single" w:sz="4" w:space="0" w:color="auto"/>
            </w:tcBorders>
            <w:vAlign w:val="center"/>
          </w:tcPr>
          <w:p w:rsidR="001B46BD" w:rsidRDefault="001B46BD"/>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6</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PH II JBS</w:t>
            </w:r>
          </w:p>
        </w:tc>
        <w:tc>
          <w:tcPr>
            <w:tcW w:w="15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N/A</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83% (5/6)</w:t>
            </w:r>
          </w:p>
        </w:tc>
        <w:tc>
          <w:tcPr>
            <w:tcW w:w="1530" w:type="dxa"/>
            <w:gridSpan w:val="2"/>
            <w:tcBorders>
              <w:top w:val="single" w:sz="4" w:space="0" w:color="auto"/>
              <w:left w:val="single" w:sz="4" w:space="0" w:color="auto"/>
              <w:bottom w:val="single" w:sz="4" w:space="0" w:color="auto"/>
            </w:tcBorders>
            <w:vAlign w:val="center"/>
          </w:tcPr>
          <w:p w:rsidR="001B46BD" w:rsidRDefault="00575911">
            <w:pPr>
              <w:jc w:val="center"/>
              <w:rPr>
                <w:rFonts w:ascii="Arial" w:hAnsi="Arial"/>
                <w:sz w:val="18"/>
              </w:rPr>
            </w:pPr>
            <w:r>
              <w:rPr>
                <w:rFonts w:ascii="Arial" w:hAnsi="Arial"/>
                <w:sz w:val="18"/>
              </w:rPr>
              <w:t>100%</w:t>
            </w:r>
          </w:p>
        </w:tc>
      </w:tr>
      <w:tr w:rsidR="001B46BD">
        <w:trPr>
          <w:gridAfter w:val="1"/>
          <w:wAfter w:w="90" w:type="dxa"/>
        </w:trPr>
        <w:tc>
          <w:tcPr>
            <w:tcW w:w="1548" w:type="dxa"/>
            <w:tcBorders>
              <w:top w:val="nil"/>
              <w:left w:val="single" w:sz="4" w:space="0" w:color="auto"/>
              <w:bottom w:val="nil"/>
              <w:right w:val="single" w:sz="4" w:space="0" w:color="auto"/>
            </w:tcBorders>
            <w:vAlign w:val="center"/>
          </w:tcPr>
          <w:p w:rsidR="001B46BD" w:rsidRDefault="001B46BD"/>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23</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PH II turbines</w:t>
            </w:r>
          </w:p>
        </w:tc>
        <w:tc>
          <w:tcPr>
            <w:tcW w:w="15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91% (21/23)</w:t>
            </w:r>
          </w:p>
        </w:tc>
        <w:tc>
          <w:tcPr>
            <w:tcW w:w="1530" w:type="dxa"/>
            <w:gridSpan w:val="2"/>
            <w:tcBorders>
              <w:top w:val="single" w:sz="4" w:space="0" w:color="auto"/>
              <w:left w:val="single" w:sz="4" w:space="0" w:color="auto"/>
              <w:bottom w:val="single" w:sz="4" w:space="0" w:color="auto"/>
            </w:tcBorders>
            <w:vAlign w:val="center"/>
          </w:tcPr>
          <w:p w:rsidR="001B46BD" w:rsidRDefault="00575911">
            <w:pPr>
              <w:jc w:val="center"/>
              <w:rPr>
                <w:rFonts w:ascii="Arial" w:hAnsi="Arial"/>
                <w:sz w:val="18"/>
              </w:rPr>
            </w:pPr>
            <w:r>
              <w:rPr>
                <w:rFonts w:ascii="Arial" w:hAnsi="Arial"/>
                <w:sz w:val="18"/>
              </w:rPr>
              <w:t>100%</w:t>
            </w:r>
          </w:p>
        </w:tc>
      </w:tr>
      <w:tr w:rsidR="001B46BD">
        <w:trPr>
          <w:gridAfter w:val="1"/>
          <w:wAfter w:w="90" w:type="dxa"/>
        </w:trPr>
        <w:tc>
          <w:tcPr>
            <w:tcW w:w="1548" w:type="dxa"/>
            <w:tcBorders>
              <w:top w:val="nil"/>
              <w:left w:val="single" w:sz="4" w:space="0" w:color="auto"/>
              <w:bottom w:val="nil"/>
              <w:right w:val="single" w:sz="4" w:space="0" w:color="auto"/>
            </w:tcBorders>
            <w:vAlign w:val="center"/>
          </w:tcPr>
          <w:p w:rsidR="001B46BD" w:rsidRDefault="001B46BD"/>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55</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Spillway</w:t>
            </w:r>
          </w:p>
        </w:tc>
        <w:tc>
          <w:tcPr>
            <w:tcW w:w="15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76% (42/55)</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95% (52/55)</w:t>
            </w:r>
          </w:p>
        </w:tc>
        <w:tc>
          <w:tcPr>
            <w:tcW w:w="1530" w:type="dxa"/>
            <w:gridSpan w:val="2"/>
            <w:tcBorders>
              <w:top w:val="single" w:sz="4" w:space="0" w:color="auto"/>
              <w:left w:val="single" w:sz="4" w:space="0" w:color="auto"/>
              <w:bottom w:val="single" w:sz="4" w:space="0" w:color="auto"/>
            </w:tcBorders>
            <w:vAlign w:val="center"/>
          </w:tcPr>
          <w:p w:rsidR="001B46BD" w:rsidRDefault="00575911">
            <w:pPr>
              <w:jc w:val="center"/>
              <w:rPr>
                <w:rFonts w:ascii="Arial" w:hAnsi="Arial"/>
                <w:sz w:val="18"/>
              </w:rPr>
            </w:pPr>
            <w:r>
              <w:rPr>
                <w:rFonts w:ascii="Arial" w:hAnsi="Arial"/>
                <w:sz w:val="18"/>
              </w:rPr>
              <w:t>100%</w:t>
            </w:r>
          </w:p>
        </w:tc>
      </w:tr>
      <w:tr w:rsidR="001B46BD">
        <w:trPr>
          <w:gridAfter w:val="1"/>
          <w:wAfter w:w="90" w:type="dxa"/>
        </w:trPr>
        <w:tc>
          <w:tcPr>
            <w:tcW w:w="1548" w:type="dxa"/>
            <w:tcBorders>
              <w:top w:val="nil"/>
              <w:left w:val="single" w:sz="4" w:space="0" w:color="auto"/>
              <w:bottom w:val="nil"/>
              <w:right w:val="single" w:sz="4" w:space="0" w:color="auto"/>
            </w:tcBorders>
            <w:vAlign w:val="center"/>
          </w:tcPr>
          <w:p w:rsidR="001B46BD" w:rsidRDefault="001B46BD"/>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PH I ITS</w:t>
            </w:r>
          </w:p>
        </w:tc>
        <w:tc>
          <w:tcPr>
            <w:tcW w:w="15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75% (3/4)</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75% (3/4)</w:t>
            </w:r>
          </w:p>
        </w:tc>
        <w:tc>
          <w:tcPr>
            <w:tcW w:w="1530" w:type="dxa"/>
            <w:gridSpan w:val="2"/>
            <w:tcBorders>
              <w:top w:val="single" w:sz="4" w:space="0" w:color="auto"/>
              <w:left w:val="single" w:sz="4" w:space="0" w:color="auto"/>
              <w:bottom w:val="single" w:sz="4" w:space="0" w:color="auto"/>
            </w:tcBorders>
            <w:vAlign w:val="center"/>
          </w:tcPr>
          <w:p w:rsidR="001B46BD" w:rsidRDefault="00575911">
            <w:pPr>
              <w:jc w:val="center"/>
              <w:rPr>
                <w:rFonts w:ascii="Arial" w:hAnsi="Arial"/>
                <w:sz w:val="18"/>
              </w:rPr>
            </w:pPr>
            <w:r>
              <w:rPr>
                <w:rFonts w:ascii="Arial" w:hAnsi="Arial"/>
                <w:sz w:val="18"/>
              </w:rPr>
              <w:t>100%</w:t>
            </w:r>
          </w:p>
        </w:tc>
      </w:tr>
      <w:tr w:rsidR="001B46BD">
        <w:trPr>
          <w:gridAfter w:val="1"/>
          <w:wAfter w:w="90" w:type="dxa"/>
        </w:trPr>
        <w:tc>
          <w:tcPr>
            <w:tcW w:w="1548" w:type="dxa"/>
            <w:tcBorders>
              <w:top w:val="nil"/>
              <w:left w:val="single" w:sz="4" w:space="0" w:color="auto"/>
              <w:bottom w:val="nil"/>
              <w:right w:val="single" w:sz="4" w:space="0" w:color="auto"/>
            </w:tcBorders>
            <w:vAlign w:val="center"/>
          </w:tcPr>
          <w:p w:rsidR="001B46BD" w:rsidRDefault="001B46BD"/>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5</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PH I JBS</w:t>
            </w:r>
          </w:p>
        </w:tc>
        <w:tc>
          <w:tcPr>
            <w:tcW w:w="15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80% (4/5)</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40% (2/5)</w:t>
            </w:r>
          </w:p>
        </w:tc>
        <w:tc>
          <w:tcPr>
            <w:tcW w:w="1530" w:type="dxa"/>
            <w:gridSpan w:val="2"/>
            <w:tcBorders>
              <w:top w:val="single" w:sz="4" w:space="0" w:color="auto"/>
              <w:left w:val="single" w:sz="4" w:space="0" w:color="auto"/>
              <w:bottom w:val="single" w:sz="4" w:space="0" w:color="auto"/>
            </w:tcBorders>
            <w:vAlign w:val="center"/>
          </w:tcPr>
          <w:p w:rsidR="001B46BD" w:rsidRDefault="00575911">
            <w:pPr>
              <w:jc w:val="center"/>
              <w:rPr>
                <w:rFonts w:ascii="Arial" w:hAnsi="Arial"/>
                <w:sz w:val="18"/>
              </w:rPr>
            </w:pPr>
            <w:r>
              <w:rPr>
                <w:rFonts w:ascii="Arial" w:hAnsi="Arial"/>
                <w:sz w:val="18"/>
              </w:rPr>
              <w:t>100%</w:t>
            </w:r>
          </w:p>
        </w:tc>
      </w:tr>
      <w:tr w:rsidR="001B46BD">
        <w:trPr>
          <w:gridAfter w:val="1"/>
          <w:wAfter w:w="90" w:type="dxa"/>
        </w:trPr>
        <w:tc>
          <w:tcPr>
            <w:tcW w:w="1548" w:type="dxa"/>
            <w:tcBorders>
              <w:top w:val="nil"/>
              <w:left w:val="single" w:sz="4" w:space="0" w:color="auto"/>
              <w:bottom w:val="nil"/>
              <w:right w:val="single" w:sz="4" w:space="0" w:color="auto"/>
            </w:tcBorders>
            <w:vAlign w:val="center"/>
          </w:tcPr>
          <w:p w:rsidR="001B46BD" w:rsidRDefault="001B46BD"/>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43</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PH I turbines</w:t>
            </w:r>
          </w:p>
        </w:tc>
        <w:tc>
          <w:tcPr>
            <w:tcW w:w="15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77% (33/43)</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88% (38/43)</w:t>
            </w:r>
          </w:p>
        </w:tc>
        <w:tc>
          <w:tcPr>
            <w:tcW w:w="1530" w:type="dxa"/>
            <w:gridSpan w:val="2"/>
            <w:tcBorders>
              <w:top w:val="single" w:sz="4" w:space="0" w:color="auto"/>
              <w:left w:val="single" w:sz="4" w:space="0" w:color="auto"/>
              <w:bottom w:val="single" w:sz="4" w:space="0" w:color="auto"/>
            </w:tcBorders>
            <w:vAlign w:val="center"/>
          </w:tcPr>
          <w:p w:rsidR="001B46BD" w:rsidRDefault="00575911">
            <w:pPr>
              <w:jc w:val="center"/>
              <w:rPr>
                <w:rFonts w:ascii="Arial" w:hAnsi="Arial"/>
                <w:sz w:val="18"/>
              </w:rPr>
            </w:pPr>
            <w:r>
              <w:rPr>
                <w:rFonts w:ascii="Arial" w:hAnsi="Arial"/>
                <w:sz w:val="18"/>
              </w:rPr>
              <w:t>100%</w:t>
            </w:r>
          </w:p>
        </w:tc>
      </w:tr>
      <w:tr w:rsidR="001B46BD">
        <w:trPr>
          <w:gridAfter w:val="1"/>
          <w:wAfter w:w="90" w:type="dxa"/>
        </w:trPr>
        <w:tc>
          <w:tcPr>
            <w:tcW w:w="1548" w:type="dxa"/>
            <w:tcBorders>
              <w:top w:val="nil"/>
              <w:left w:val="single" w:sz="4" w:space="0" w:color="auto"/>
              <w:bottom w:val="single" w:sz="4" w:space="0" w:color="auto"/>
              <w:right w:val="single" w:sz="4" w:space="0" w:color="auto"/>
            </w:tcBorders>
            <w:vAlign w:val="center"/>
          </w:tcPr>
          <w:p w:rsidR="001B46BD" w:rsidRDefault="001B46BD"/>
        </w:tc>
        <w:tc>
          <w:tcPr>
            <w:tcW w:w="6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pPr>
            <w:r>
              <w:t>3</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PH I Unknown route</w:t>
            </w:r>
          </w:p>
        </w:tc>
        <w:tc>
          <w:tcPr>
            <w:tcW w:w="153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18"/>
              </w:rPr>
            </w:pPr>
            <w:r>
              <w:rPr>
                <w:rFonts w:ascii="Arial" w:hAnsi="Arial"/>
                <w:sz w:val="18"/>
              </w:rPr>
              <w:t>100%</w:t>
            </w:r>
          </w:p>
        </w:tc>
        <w:tc>
          <w:tcPr>
            <w:tcW w:w="1530" w:type="dxa"/>
            <w:gridSpan w:val="2"/>
            <w:tcBorders>
              <w:top w:val="single" w:sz="4" w:space="0" w:color="auto"/>
              <w:left w:val="single" w:sz="4" w:space="0" w:color="auto"/>
              <w:bottom w:val="single" w:sz="4" w:space="0" w:color="auto"/>
            </w:tcBorders>
            <w:vAlign w:val="center"/>
          </w:tcPr>
          <w:p w:rsidR="001B46BD" w:rsidRDefault="00575911">
            <w:pPr>
              <w:jc w:val="center"/>
              <w:rPr>
                <w:rFonts w:ascii="Arial" w:hAnsi="Arial"/>
                <w:sz w:val="18"/>
              </w:rPr>
            </w:pPr>
            <w:r>
              <w:rPr>
                <w:rFonts w:ascii="Arial" w:hAnsi="Arial"/>
                <w:sz w:val="18"/>
              </w:rPr>
              <w:t>100%</w:t>
            </w:r>
          </w:p>
        </w:tc>
      </w:tr>
    </w:tbl>
    <w:p w:rsidR="001B46BD" w:rsidRDefault="001B46BD">
      <w:pPr>
        <w:ind w:right="720"/>
        <w:rPr>
          <w:sz w:val="22"/>
        </w:rPr>
      </w:pPr>
    </w:p>
    <w:p w:rsidR="001B46BD" w:rsidRDefault="001B46BD">
      <w:pPr>
        <w:ind w:right="720"/>
        <w:rPr>
          <w:sz w:val="22"/>
        </w:rPr>
      </w:pPr>
    </w:p>
    <w:p w:rsidR="001B46BD" w:rsidRDefault="001B46BD">
      <w:pPr>
        <w:ind w:right="720"/>
        <w:rPr>
          <w:sz w:val="22"/>
        </w:rPr>
      </w:pPr>
    </w:p>
    <w:p w:rsidR="001B46BD" w:rsidRDefault="001B46BD">
      <w:pPr>
        <w:ind w:right="720"/>
        <w:rPr>
          <w:sz w:val="22"/>
        </w:rPr>
      </w:pPr>
    </w:p>
    <w:p w:rsidR="001B46BD" w:rsidRDefault="001B46BD">
      <w:pPr>
        <w:rPr>
          <w:sz w:val="22"/>
        </w:rPr>
      </w:pPr>
    </w:p>
    <w:p w:rsidR="001B46BD" w:rsidRDefault="00575911">
      <w:pPr>
        <w:rPr>
          <w:sz w:val="22"/>
        </w:rPr>
      </w:pPr>
      <w:proofErr w:type="gramStart"/>
      <w:r>
        <w:rPr>
          <w:sz w:val="22"/>
        </w:rPr>
        <w:lastRenderedPageBreak/>
        <w:t>Table 3.</w:t>
      </w:r>
      <w:proofErr w:type="gramEnd"/>
      <w:r>
        <w:rPr>
          <w:sz w:val="22"/>
        </w:rPr>
        <w:t xml:space="preserve">  Fate and residence times of the 38 tagged kelts that interacted with the Prototype Surface Collector (PSC).  Fish had to be within 6 m of the PSC to be detected by the radio receiver antennas mounted on the PSC.  Note: Q1 = 25</w:t>
      </w:r>
      <w:r>
        <w:rPr>
          <w:sz w:val="22"/>
          <w:vertAlign w:val="superscript"/>
        </w:rPr>
        <w:t>th</w:t>
      </w:r>
      <w:r>
        <w:rPr>
          <w:sz w:val="22"/>
        </w:rPr>
        <w:t>, median forebay, and Q3 =75</w:t>
      </w:r>
      <w:r>
        <w:rPr>
          <w:sz w:val="22"/>
          <w:vertAlign w:val="superscript"/>
        </w:rPr>
        <w:t>th</w:t>
      </w:r>
      <w:r>
        <w:rPr>
          <w:sz w:val="22"/>
        </w:rPr>
        <w:t xml:space="preserve"> percentile.  Note:  one </w:t>
      </w:r>
      <w:proofErr w:type="gramStart"/>
      <w:r>
        <w:rPr>
          <w:sz w:val="22"/>
        </w:rPr>
        <w:t>kelt</w:t>
      </w:r>
      <w:proofErr w:type="gramEnd"/>
      <w:r>
        <w:rPr>
          <w:sz w:val="22"/>
        </w:rPr>
        <w:t xml:space="preserve"> contacted the face of the PSC, and subsequently passed at *PH II.</w:t>
      </w:r>
    </w:p>
    <w:p w:rsidR="001B46BD" w:rsidRDefault="001B46BD">
      <w:pPr>
        <w:rPr>
          <w:sz w:val="22"/>
        </w:rPr>
      </w:pPr>
    </w:p>
    <w:p w:rsidR="001B46BD" w:rsidRDefault="001B46BD">
      <w:pPr>
        <w:rPr>
          <w:sz w:val="22"/>
        </w:rPr>
      </w:pPr>
    </w:p>
    <w:tbl>
      <w:tblPr>
        <w:tblW w:w="0" w:type="auto"/>
        <w:tblLayout w:type="fixed"/>
        <w:tblLook w:val="0000"/>
      </w:tblPr>
      <w:tblGrid>
        <w:gridCol w:w="1908"/>
        <w:gridCol w:w="540"/>
        <w:gridCol w:w="1260"/>
        <w:gridCol w:w="1080"/>
        <w:gridCol w:w="1557"/>
        <w:gridCol w:w="963"/>
        <w:gridCol w:w="1440"/>
        <w:gridCol w:w="900"/>
        <w:gridCol w:w="900"/>
        <w:gridCol w:w="1260"/>
        <w:gridCol w:w="900"/>
      </w:tblGrid>
      <w:tr w:rsidR="001B46BD">
        <w:trPr>
          <w:trHeight w:hRule="exact" w:val="745"/>
        </w:trPr>
        <w:tc>
          <w:tcPr>
            <w:tcW w:w="1908" w:type="dxa"/>
            <w:vAlign w:val="bottom"/>
          </w:tcPr>
          <w:p w:rsidR="001B46BD" w:rsidRDefault="00575911">
            <w:pPr>
              <w:pStyle w:val="Heading6"/>
              <w:rPr>
                <w:rFonts w:ascii="Arial" w:hAnsi="Arial"/>
              </w:rPr>
            </w:pPr>
            <w:r>
              <w:rPr>
                <w:rFonts w:ascii="Arial" w:hAnsi="Arial"/>
              </w:rPr>
              <w:t>Fate</w:t>
            </w:r>
          </w:p>
        </w:tc>
        <w:tc>
          <w:tcPr>
            <w:tcW w:w="540" w:type="dxa"/>
            <w:tcBorders>
              <w:bottom w:val="single" w:sz="4" w:space="0" w:color="auto"/>
            </w:tcBorders>
            <w:vAlign w:val="bottom"/>
          </w:tcPr>
          <w:p w:rsidR="001B46BD" w:rsidRDefault="00575911">
            <w:pPr>
              <w:pStyle w:val="Heading6"/>
              <w:rPr>
                <w:rFonts w:ascii="Arial" w:hAnsi="Arial"/>
              </w:rPr>
            </w:pPr>
            <w:r>
              <w:rPr>
                <w:rFonts w:ascii="Arial" w:hAnsi="Arial"/>
              </w:rPr>
              <w:t>N</w:t>
            </w:r>
          </w:p>
        </w:tc>
        <w:tc>
          <w:tcPr>
            <w:tcW w:w="1260" w:type="dxa"/>
            <w:tcBorders>
              <w:bottom w:val="single" w:sz="4" w:space="0" w:color="auto"/>
            </w:tcBorders>
            <w:vAlign w:val="bottom"/>
          </w:tcPr>
          <w:p w:rsidR="001B46BD" w:rsidRDefault="00575911">
            <w:pPr>
              <w:jc w:val="center"/>
              <w:rPr>
                <w:rFonts w:ascii="Arial" w:hAnsi="Arial"/>
                <w:b/>
                <w:sz w:val="20"/>
                <w:u w:val="single"/>
              </w:rPr>
            </w:pPr>
            <w:r>
              <w:rPr>
                <w:rFonts w:ascii="Arial" w:hAnsi="Arial"/>
                <w:b/>
                <w:sz w:val="20"/>
              </w:rPr>
              <w:t>Pass –</w:t>
            </w:r>
            <w:r>
              <w:rPr>
                <w:rFonts w:ascii="Arial" w:hAnsi="Arial"/>
                <w:b/>
                <w:sz w:val="20"/>
                <w:u w:val="single"/>
              </w:rPr>
              <w:t>Location</w:t>
            </w:r>
          </w:p>
        </w:tc>
        <w:tc>
          <w:tcPr>
            <w:tcW w:w="1080" w:type="dxa"/>
            <w:tcBorders>
              <w:bottom w:val="single" w:sz="4" w:space="0" w:color="auto"/>
            </w:tcBorders>
            <w:vAlign w:val="bottom"/>
          </w:tcPr>
          <w:p w:rsidR="001B46BD" w:rsidRDefault="00575911">
            <w:pPr>
              <w:pStyle w:val="Heading6"/>
              <w:rPr>
                <w:rFonts w:ascii="Arial" w:hAnsi="Arial"/>
              </w:rPr>
            </w:pPr>
            <w:r>
              <w:rPr>
                <w:rFonts w:ascii="Arial" w:hAnsi="Arial"/>
              </w:rPr>
              <w:t>Route</w:t>
            </w:r>
          </w:p>
        </w:tc>
        <w:tc>
          <w:tcPr>
            <w:tcW w:w="1557" w:type="dxa"/>
            <w:tcBorders>
              <w:bottom w:val="single" w:sz="4" w:space="0" w:color="auto"/>
            </w:tcBorders>
            <w:vAlign w:val="bottom"/>
          </w:tcPr>
          <w:p w:rsidR="001B46BD" w:rsidRDefault="00575911">
            <w:pPr>
              <w:pStyle w:val="Heading1"/>
              <w:jc w:val="center"/>
              <w:rPr>
                <w:rFonts w:ascii="Arial" w:hAnsi="Arial"/>
                <w:sz w:val="20"/>
              </w:rPr>
            </w:pPr>
            <w:r>
              <w:rPr>
                <w:rFonts w:ascii="Arial" w:hAnsi="Arial"/>
                <w:sz w:val="20"/>
              </w:rPr>
              <w:t>Bypass</w:t>
            </w:r>
          </w:p>
          <w:p w:rsidR="001B46BD" w:rsidRDefault="00575911">
            <w:pPr>
              <w:jc w:val="center"/>
              <w:rPr>
                <w:rFonts w:ascii="Arial" w:hAnsi="Arial"/>
                <w:b/>
                <w:sz w:val="20"/>
                <w:u w:val="single"/>
              </w:rPr>
            </w:pPr>
            <w:r>
              <w:rPr>
                <w:rFonts w:ascii="Arial" w:hAnsi="Arial"/>
                <w:b/>
                <w:sz w:val="20"/>
                <w:u w:val="single"/>
              </w:rPr>
              <w:t>System</w:t>
            </w:r>
          </w:p>
        </w:tc>
        <w:tc>
          <w:tcPr>
            <w:tcW w:w="963" w:type="dxa"/>
            <w:tcBorders>
              <w:bottom w:val="single" w:sz="4" w:space="0" w:color="auto"/>
            </w:tcBorders>
            <w:vAlign w:val="bottom"/>
          </w:tcPr>
          <w:p w:rsidR="001B46BD" w:rsidRDefault="00575911">
            <w:pPr>
              <w:jc w:val="center"/>
              <w:rPr>
                <w:rFonts w:ascii="Arial" w:hAnsi="Arial"/>
                <w:b/>
                <w:sz w:val="20"/>
                <w:u w:val="single"/>
              </w:rPr>
            </w:pPr>
            <w:r>
              <w:rPr>
                <w:rFonts w:ascii="Arial" w:hAnsi="Arial"/>
                <w:b/>
                <w:sz w:val="20"/>
                <w:u w:val="single"/>
              </w:rPr>
              <w:t>Q1</w:t>
            </w:r>
          </w:p>
        </w:tc>
        <w:tc>
          <w:tcPr>
            <w:tcW w:w="1440" w:type="dxa"/>
            <w:tcBorders>
              <w:bottom w:val="single" w:sz="4" w:space="0" w:color="auto"/>
            </w:tcBorders>
            <w:vAlign w:val="bottom"/>
          </w:tcPr>
          <w:p w:rsidR="001B46BD" w:rsidRDefault="00575911">
            <w:pPr>
              <w:jc w:val="center"/>
              <w:rPr>
                <w:rFonts w:ascii="Arial" w:hAnsi="Arial"/>
                <w:b/>
                <w:sz w:val="20"/>
              </w:rPr>
            </w:pPr>
            <w:r>
              <w:rPr>
                <w:rFonts w:ascii="Arial" w:hAnsi="Arial"/>
                <w:b/>
                <w:sz w:val="20"/>
              </w:rPr>
              <w:t>Full</w:t>
            </w:r>
          </w:p>
          <w:p w:rsidR="001B46BD" w:rsidRDefault="00575911">
            <w:pPr>
              <w:pStyle w:val="Heading6"/>
              <w:rPr>
                <w:rFonts w:ascii="Arial" w:hAnsi="Arial"/>
              </w:rPr>
            </w:pPr>
            <w:r>
              <w:rPr>
                <w:rFonts w:ascii="Arial" w:hAnsi="Arial"/>
              </w:rPr>
              <w:t>Forebay</w:t>
            </w:r>
          </w:p>
        </w:tc>
        <w:tc>
          <w:tcPr>
            <w:tcW w:w="900" w:type="dxa"/>
            <w:tcBorders>
              <w:bottom w:val="single" w:sz="4" w:space="0" w:color="auto"/>
            </w:tcBorders>
            <w:vAlign w:val="bottom"/>
          </w:tcPr>
          <w:p w:rsidR="001B46BD" w:rsidRDefault="00575911">
            <w:pPr>
              <w:jc w:val="center"/>
              <w:rPr>
                <w:rFonts w:ascii="Arial" w:hAnsi="Arial"/>
                <w:b/>
                <w:sz w:val="20"/>
                <w:u w:val="single"/>
              </w:rPr>
            </w:pPr>
            <w:r>
              <w:rPr>
                <w:rFonts w:ascii="Arial" w:hAnsi="Arial"/>
                <w:b/>
                <w:sz w:val="20"/>
                <w:u w:val="single"/>
              </w:rPr>
              <w:t>Q3</w:t>
            </w:r>
          </w:p>
        </w:tc>
        <w:tc>
          <w:tcPr>
            <w:tcW w:w="900" w:type="dxa"/>
            <w:tcBorders>
              <w:bottom w:val="single" w:sz="4" w:space="0" w:color="auto"/>
            </w:tcBorders>
            <w:vAlign w:val="bottom"/>
          </w:tcPr>
          <w:p w:rsidR="001B46BD" w:rsidRDefault="00575911">
            <w:pPr>
              <w:jc w:val="center"/>
              <w:rPr>
                <w:rFonts w:ascii="Arial" w:hAnsi="Arial"/>
                <w:b/>
                <w:sz w:val="20"/>
                <w:u w:val="single"/>
              </w:rPr>
            </w:pPr>
            <w:r>
              <w:rPr>
                <w:rFonts w:ascii="Arial" w:hAnsi="Arial"/>
                <w:b/>
                <w:sz w:val="20"/>
                <w:u w:val="single"/>
              </w:rPr>
              <w:t>Q1</w:t>
            </w:r>
          </w:p>
        </w:tc>
        <w:tc>
          <w:tcPr>
            <w:tcW w:w="1260" w:type="dxa"/>
            <w:tcBorders>
              <w:bottom w:val="single" w:sz="4" w:space="0" w:color="auto"/>
            </w:tcBorders>
            <w:vAlign w:val="bottom"/>
          </w:tcPr>
          <w:p w:rsidR="001B46BD" w:rsidRDefault="00575911">
            <w:pPr>
              <w:jc w:val="center"/>
              <w:rPr>
                <w:rFonts w:ascii="Arial" w:hAnsi="Arial"/>
                <w:b/>
                <w:sz w:val="20"/>
                <w:u w:val="single"/>
              </w:rPr>
            </w:pPr>
            <w:r>
              <w:rPr>
                <w:rFonts w:ascii="Arial" w:hAnsi="Arial"/>
                <w:b/>
                <w:sz w:val="20"/>
              </w:rPr>
              <w:t xml:space="preserve">Final </w:t>
            </w:r>
            <w:r>
              <w:rPr>
                <w:rFonts w:ascii="Arial" w:hAnsi="Arial"/>
                <w:b/>
                <w:sz w:val="20"/>
                <w:u w:val="single"/>
              </w:rPr>
              <w:t>Forebay</w:t>
            </w:r>
          </w:p>
        </w:tc>
        <w:tc>
          <w:tcPr>
            <w:tcW w:w="900" w:type="dxa"/>
            <w:tcBorders>
              <w:bottom w:val="single" w:sz="4" w:space="0" w:color="auto"/>
            </w:tcBorders>
            <w:vAlign w:val="bottom"/>
          </w:tcPr>
          <w:p w:rsidR="001B46BD" w:rsidRDefault="00575911">
            <w:pPr>
              <w:jc w:val="center"/>
              <w:rPr>
                <w:rFonts w:ascii="Arial" w:hAnsi="Arial"/>
                <w:b/>
                <w:sz w:val="20"/>
                <w:u w:val="single"/>
              </w:rPr>
            </w:pPr>
            <w:r>
              <w:rPr>
                <w:rFonts w:ascii="Arial" w:hAnsi="Arial"/>
                <w:b/>
                <w:sz w:val="20"/>
                <w:u w:val="single"/>
              </w:rPr>
              <w:t>Q3</w:t>
            </w:r>
          </w:p>
        </w:tc>
      </w:tr>
      <w:tr w:rsidR="001B46BD">
        <w:trPr>
          <w:cantSplit/>
          <w:trHeight w:val="405"/>
        </w:trPr>
        <w:tc>
          <w:tcPr>
            <w:tcW w:w="1908" w:type="dxa"/>
            <w:vMerge w:val="restart"/>
            <w:tcBorders>
              <w:right w:val="single" w:sz="4" w:space="0" w:color="auto"/>
            </w:tcBorders>
            <w:vAlign w:val="center"/>
          </w:tcPr>
          <w:p w:rsidR="001B46BD" w:rsidRDefault="00575911">
            <w:pPr>
              <w:jc w:val="right"/>
              <w:rPr>
                <w:rFonts w:ascii="Arial" w:hAnsi="Arial"/>
                <w:sz w:val="20"/>
              </w:rPr>
            </w:pPr>
            <w:r>
              <w:rPr>
                <w:rFonts w:ascii="Arial" w:hAnsi="Arial"/>
                <w:sz w:val="20"/>
              </w:rPr>
              <w:t>Did not contact the PSC.</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8</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PH I south</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turbine</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None</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3:49</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12:20</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19:42</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1:45</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7:49</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13:44</w:t>
            </w:r>
          </w:p>
        </w:tc>
      </w:tr>
      <w:tr w:rsidR="001B46BD">
        <w:trPr>
          <w:cantSplit/>
          <w:trHeight w:val="405"/>
        </w:trPr>
        <w:tc>
          <w:tcPr>
            <w:tcW w:w="1908" w:type="dxa"/>
            <w:vMerge/>
            <w:tcBorders>
              <w:right w:val="single" w:sz="4" w:space="0" w:color="auto"/>
            </w:tcBorders>
            <w:vAlign w:val="center"/>
          </w:tcPr>
          <w:p w:rsidR="001B46BD" w:rsidRDefault="001B46BD">
            <w:pPr>
              <w:jc w:val="right"/>
              <w:rPr>
                <w:rFonts w:ascii="Arial" w:hAnsi="Arial"/>
                <w:sz w:val="20"/>
              </w:rPr>
            </w:pP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9</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PH I north</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turbine</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None</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0:47</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4:14</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6:13</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0:47</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4:14</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6:13</w:t>
            </w:r>
          </w:p>
        </w:tc>
      </w:tr>
      <w:tr w:rsidR="001B46BD">
        <w:trPr>
          <w:cantSplit/>
          <w:trHeight w:val="405"/>
        </w:trPr>
        <w:tc>
          <w:tcPr>
            <w:tcW w:w="1908" w:type="dxa"/>
            <w:vMerge/>
            <w:tcBorders>
              <w:right w:val="single" w:sz="4" w:space="0" w:color="auto"/>
            </w:tcBorders>
            <w:vAlign w:val="center"/>
          </w:tcPr>
          <w:p w:rsidR="001B46BD" w:rsidRDefault="001B46BD">
            <w:pPr>
              <w:jc w:val="right"/>
              <w:rPr>
                <w:rFonts w:ascii="Arial" w:hAnsi="Arial"/>
                <w:sz w:val="20"/>
              </w:rPr>
            </w:pP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PH I north</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bypass</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JBS via STS</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0:14</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0:14</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r>
      <w:tr w:rsidR="001B46BD">
        <w:trPr>
          <w:cantSplit/>
          <w:trHeight w:val="277"/>
        </w:trPr>
        <w:tc>
          <w:tcPr>
            <w:tcW w:w="1908" w:type="dxa"/>
            <w:vAlign w:val="center"/>
          </w:tcPr>
          <w:p w:rsidR="001B46BD" w:rsidRDefault="001B46BD">
            <w:pPr>
              <w:jc w:val="right"/>
              <w:rPr>
                <w:rFonts w:ascii="Arial" w:hAnsi="Arial"/>
                <w:sz w:val="20"/>
              </w:rPr>
            </w:pPr>
          </w:p>
        </w:tc>
        <w:tc>
          <w:tcPr>
            <w:tcW w:w="54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26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08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557"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63"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44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0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0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26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00" w:type="dxa"/>
            <w:tcBorders>
              <w:top w:val="single" w:sz="4" w:space="0" w:color="auto"/>
              <w:bottom w:val="single" w:sz="4" w:space="0" w:color="auto"/>
            </w:tcBorders>
            <w:vAlign w:val="center"/>
          </w:tcPr>
          <w:p w:rsidR="001B46BD" w:rsidRDefault="001B46BD">
            <w:pPr>
              <w:jc w:val="center"/>
              <w:rPr>
                <w:rFonts w:ascii="Arial" w:hAnsi="Arial"/>
                <w:sz w:val="20"/>
              </w:rPr>
            </w:pPr>
          </w:p>
        </w:tc>
      </w:tr>
      <w:tr w:rsidR="001B46BD">
        <w:trPr>
          <w:cantSplit/>
          <w:trHeight w:val="465"/>
        </w:trPr>
        <w:tc>
          <w:tcPr>
            <w:tcW w:w="1908" w:type="dxa"/>
            <w:vMerge w:val="restart"/>
            <w:tcBorders>
              <w:right w:val="single" w:sz="4" w:space="0" w:color="auto"/>
            </w:tcBorders>
            <w:vAlign w:val="center"/>
          </w:tcPr>
          <w:p w:rsidR="001B46BD" w:rsidRDefault="00575911">
            <w:pPr>
              <w:jc w:val="right"/>
              <w:rPr>
                <w:rFonts w:ascii="Arial" w:hAnsi="Arial"/>
                <w:sz w:val="20"/>
              </w:rPr>
            </w:pPr>
            <w:r>
              <w:rPr>
                <w:rFonts w:ascii="Arial" w:hAnsi="Arial"/>
                <w:sz w:val="20"/>
              </w:rPr>
              <w:t>Contacted the face of the PSC but did not enter the PSC.</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7</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 xml:space="preserve">PH I south </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turbine</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None</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5:04</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7:17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20:53</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5:04</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7:17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20:53</w:t>
            </w:r>
          </w:p>
        </w:tc>
      </w:tr>
      <w:tr w:rsidR="001B46BD">
        <w:trPr>
          <w:cantSplit/>
          <w:trHeight w:val="465"/>
        </w:trPr>
        <w:tc>
          <w:tcPr>
            <w:tcW w:w="1908" w:type="dxa"/>
            <w:vMerge/>
            <w:tcBorders>
              <w:right w:val="single" w:sz="4" w:space="0" w:color="auto"/>
            </w:tcBorders>
            <w:vAlign w:val="center"/>
          </w:tcPr>
          <w:p w:rsidR="001B46BD" w:rsidRDefault="001B46BD">
            <w:pPr>
              <w:rPr>
                <w:rFonts w:ascii="Arial" w:hAnsi="Arial"/>
                <w:sz w:val="20"/>
              </w:rPr>
            </w:pP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*PH II</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other</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None</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46:01</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3:37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r>
      <w:tr w:rsidR="001B46BD">
        <w:trPr>
          <w:trHeight w:hRule="exact" w:val="252"/>
        </w:trPr>
        <w:tc>
          <w:tcPr>
            <w:tcW w:w="1908" w:type="dxa"/>
            <w:vAlign w:val="center"/>
          </w:tcPr>
          <w:p w:rsidR="001B46BD" w:rsidRDefault="001B46BD">
            <w:pPr>
              <w:rPr>
                <w:rFonts w:ascii="Arial" w:hAnsi="Arial"/>
                <w:sz w:val="20"/>
              </w:rPr>
            </w:pPr>
          </w:p>
        </w:tc>
        <w:tc>
          <w:tcPr>
            <w:tcW w:w="54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26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08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557"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63"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44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0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0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26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00" w:type="dxa"/>
            <w:tcBorders>
              <w:top w:val="single" w:sz="4" w:space="0" w:color="auto"/>
              <w:bottom w:val="single" w:sz="4" w:space="0" w:color="auto"/>
            </w:tcBorders>
            <w:vAlign w:val="center"/>
          </w:tcPr>
          <w:p w:rsidR="001B46BD" w:rsidRDefault="001B46BD">
            <w:pPr>
              <w:jc w:val="center"/>
              <w:rPr>
                <w:rFonts w:ascii="Arial" w:hAnsi="Arial"/>
                <w:sz w:val="20"/>
              </w:rPr>
            </w:pPr>
          </w:p>
        </w:tc>
      </w:tr>
      <w:tr w:rsidR="001B46BD">
        <w:trPr>
          <w:cantSplit/>
          <w:trHeight w:val="435"/>
        </w:trPr>
        <w:tc>
          <w:tcPr>
            <w:tcW w:w="1908" w:type="dxa"/>
            <w:vMerge w:val="restart"/>
            <w:tcBorders>
              <w:right w:val="single" w:sz="4" w:space="0" w:color="auto"/>
            </w:tcBorders>
            <w:vAlign w:val="center"/>
          </w:tcPr>
          <w:p w:rsidR="001B46BD" w:rsidRDefault="00575911">
            <w:pPr>
              <w:jc w:val="right"/>
              <w:rPr>
                <w:rFonts w:ascii="Arial" w:hAnsi="Arial"/>
                <w:sz w:val="20"/>
              </w:rPr>
            </w:pPr>
            <w:r>
              <w:rPr>
                <w:rFonts w:ascii="Arial" w:hAnsi="Arial"/>
                <w:sz w:val="20"/>
              </w:rPr>
              <w:t>Entered and exited the PSC but did not pass from within the PSC.</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7</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PH I south</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turbine</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None</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7:50</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11:12</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38:37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4:09</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11:12</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38:37</w:t>
            </w:r>
          </w:p>
        </w:tc>
      </w:tr>
      <w:tr w:rsidR="001B46BD">
        <w:trPr>
          <w:cantSplit/>
          <w:trHeight w:val="435"/>
        </w:trPr>
        <w:tc>
          <w:tcPr>
            <w:tcW w:w="1908" w:type="dxa"/>
            <w:vMerge/>
            <w:tcBorders>
              <w:right w:val="single" w:sz="4" w:space="0" w:color="auto"/>
            </w:tcBorders>
            <w:vAlign w:val="center"/>
          </w:tcPr>
          <w:p w:rsidR="001B46BD" w:rsidRDefault="001B46BD">
            <w:pPr>
              <w:rPr>
                <w:rFonts w:ascii="Arial" w:hAnsi="Arial"/>
                <w:sz w:val="20"/>
              </w:rPr>
            </w:pP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PH I north</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turbine</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None</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8:59</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8:59</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r>
      <w:tr w:rsidR="001B46BD">
        <w:trPr>
          <w:cantSplit/>
          <w:trHeight w:val="435"/>
        </w:trPr>
        <w:tc>
          <w:tcPr>
            <w:tcW w:w="1908" w:type="dxa"/>
            <w:vMerge/>
            <w:tcBorders>
              <w:right w:val="single" w:sz="4" w:space="0" w:color="auto"/>
            </w:tcBorders>
            <w:vAlign w:val="center"/>
          </w:tcPr>
          <w:p w:rsidR="001B46BD" w:rsidRDefault="001B46BD">
            <w:pPr>
              <w:rPr>
                <w:rFonts w:ascii="Arial" w:hAnsi="Arial"/>
                <w:sz w:val="20"/>
              </w:rPr>
            </w:pP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PH I south</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bypass</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JBS via STS</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7:11</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7:11</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r>
      <w:tr w:rsidR="001B46BD">
        <w:trPr>
          <w:cantSplit/>
          <w:trHeight w:val="435"/>
        </w:trPr>
        <w:tc>
          <w:tcPr>
            <w:tcW w:w="1908" w:type="dxa"/>
            <w:vMerge/>
            <w:tcBorders>
              <w:right w:val="single" w:sz="4" w:space="0" w:color="auto"/>
            </w:tcBorders>
            <w:vAlign w:val="center"/>
          </w:tcPr>
          <w:p w:rsidR="001B46BD" w:rsidRDefault="001B46BD">
            <w:pPr>
              <w:rPr>
                <w:rFonts w:ascii="Arial" w:hAnsi="Arial"/>
                <w:sz w:val="20"/>
              </w:rPr>
            </w:pP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PH I north</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bypass</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JBS via STS</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15:41</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15:41</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r>
      <w:tr w:rsidR="001B46BD">
        <w:trPr>
          <w:trHeight w:hRule="exact" w:val="252"/>
        </w:trPr>
        <w:tc>
          <w:tcPr>
            <w:tcW w:w="1908" w:type="dxa"/>
            <w:vAlign w:val="center"/>
          </w:tcPr>
          <w:p w:rsidR="001B46BD" w:rsidRDefault="001B46BD">
            <w:pPr>
              <w:rPr>
                <w:rFonts w:ascii="Arial" w:hAnsi="Arial"/>
                <w:sz w:val="20"/>
              </w:rPr>
            </w:pPr>
          </w:p>
        </w:tc>
        <w:tc>
          <w:tcPr>
            <w:tcW w:w="54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26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08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557"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63"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44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0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0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1260" w:type="dxa"/>
            <w:tcBorders>
              <w:top w:val="single" w:sz="4" w:space="0" w:color="auto"/>
              <w:bottom w:val="single" w:sz="4" w:space="0" w:color="auto"/>
            </w:tcBorders>
            <w:vAlign w:val="center"/>
          </w:tcPr>
          <w:p w:rsidR="001B46BD" w:rsidRDefault="001B46BD">
            <w:pPr>
              <w:jc w:val="center"/>
              <w:rPr>
                <w:rFonts w:ascii="Arial" w:hAnsi="Arial"/>
                <w:sz w:val="20"/>
              </w:rPr>
            </w:pPr>
          </w:p>
        </w:tc>
        <w:tc>
          <w:tcPr>
            <w:tcW w:w="900" w:type="dxa"/>
            <w:tcBorders>
              <w:top w:val="single" w:sz="4" w:space="0" w:color="auto"/>
              <w:bottom w:val="single" w:sz="4" w:space="0" w:color="auto"/>
            </w:tcBorders>
            <w:vAlign w:val="center"/>
          </w:tcPr>
          <w:p w:rsidR="001B46BD" w:rsidRDefault="001B46BD">
            <w:pPr>
              <w:jc w:val="center"/>
              <w:rPr>
                <w:rFonts w:ascii="Arial" w:hAnsi="Arial"/>
                <w:sz w:val="20"/>
              </w:rPr>
            </w:pPr>
          </w:p>
        </w:tc>
      </w:tr>
      <w:tr w:rsidR="001B46BD">
        <w:trPr>
          <w:cantSplit/>
          <w:trHeight w:val="465"/>
        </w:trPr>
        <w:tc>
          <w:tcPr>
            <w:tcW w:w="1908" w:type="dxa"/>
            <w:vMerge w:val="restart"/>
            <w:tcBorders>
              <w:right w:val="single" w:sz="4" w:space="0" w:color="auto"/>
            </w:tcBorders>
            <w:vAlign w:val="center"/>
          </w:tcPr>
          <w:p w:rsidR="001B46BD" w:rsidRDefault="00575911">
            <w:pPr>
              <w:jc w:val="right"/>
              <w:rPr>
                <w:rFonts w:ascii="Arial" w:hAnsi="Arial"/>
                <w:sz w:val="20"/>
              </w:rPr>
            </w:pPr>
            <w:r>
              <w:rPr>
                <w:rFonts w:ascii="Arial" w:hAnsi="Arial"/>
                <w:sz w:val="20"/>
              </w:rPr>
              <w:t>Entered and exited the PSC and passed from within the PSC.</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14</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PH I south</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turbine</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None</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9:59</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17:42</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33:28</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3:03</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16:12</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31:51</w:t>
            </w:r>
          </w:p>
        </w:tc>
      </w:tr>
      <w:tr w:rsidR="001B46BD">
        <w:trPr>
          <w:cantSplit/>
          <w:trHeight w:val="465"/>
        </w:trPr>
        <w:tc>
          <w:tcPr>
            <w:tcW w:w="1908" w:type="dxa"/>
            <w:vMerge/>
            <w:tcBorders>
              <w:right w:val="single" w:sz="4" w:space="0" w:color="auto"/>
            </w:tcBorders>
            <w:vAlign w:val="center"/>
          </w:tcPr>
          <w:p w:rsidR="001B46BD" w:rsidRDefault="001B46BD">
            <w:pP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PH I south</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bypass</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ITS</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14:14</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21:01</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53:53</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14:14</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21:01</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53:53</w:t>
            </w:r>
          </w:p>
        </w:tc>
      </w:tr>
      <w:tr w:rsidR="001B46BD">
        <w:trPr>
          <w:cantSplit/>
          <w:trHeight w:val="465"/>
        </w:trPr>
        <w:tc>
          <w:tcPr>
            <w:tcW w:w="1908" w:type="dxa"/>
            <w:vMerge/>
            <w:tcBorders>
              <w:right w:val="single" w:sz="4" w:space="0" w:color="auto"/>
            </w:tcBorders>
            <w:vAlign w:val="center"/>
          </w:tcPr>
          <w:p w:rsidR="001B46BD" w:rsidRDefault="001B46BD">
            <w:pPr>
              <w:rPr>
                <w:sz w:val="20"/>
              </w:rPr>
            </w:pP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PH I south</w:t>
            </w:r>
          </w:p>
        </w:tc>
        <w:tc>
          <w:tcPr>
            <w:tcW w:w="108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bypass</w:t>
            </w:r>
          </w:p>
        </w:tc>
        <w:tc>
          <w:tcPr>
            <w:tcW w:w="1557"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JBS via STS</w:t>
            </w:r>
          </w:p>
        </w:tc>
        <w:tc>
          <w:tcPr>
            <w:tcW w:w="963"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2:36</w:t>
            </w:r>
          </w:p>
        </w:tc>
        <w:tc>
          <w:tcPr>
            <w:tcW w:w="14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4:37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6:39</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2:36</w:t>
            </w:r>
          </w:p>
        </w:tc>
        <w:tc>
          <w:tcPr>
            <w:tcW w:w="126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4:37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6:39</w:t>
            </w:r>
          </w:p>
        </w:tc>
      </w:tr>
    </w:tbl>
    <w:p w:rsidR="001B46BD" w:rsidRDefault="001B46BD">
      <w:pPr>
        <w:ind w:right="720"/>
        <w:rPr>
          <w:sz w:val="22"/>
        </w:rPr>
      </w:pPr>
    </w:p>
    <w:p w:rsidR="001B46BD" w:rsidRDefault="001B46BD">
      <w:pPr>
        <w:ind w:right="720"/>
        <w:rPr>
          <w:sz w:val="22"/>
        </w:rPr>
      </w:pPr>
    </w:p>
    <w:p w:rsidR="001B46BD" w:rsidRDefault="001B46BD">
      <w:pPr>
        <w:ind w:right="720"/>
        <w:rPr>
          <w:sz w:val="22"/>
        </w:rPr>
      </w:pPr>
    </w:p>
    <w:p w:rsidR="001B46BD" w:rsidRDefault="001B46BD">
      <w:pPr>
        <w:ind w:right="720"/>
        <w:rPr>
          <w:sz w:val="22"/>
        </w:rPr>
      </w:pPr>
    </w:p>
    <w:p w:rsidR="001B46BD" w:rsidRDefault="001B46BD">
      <w:pPr>
        <w:ind w:right="720"/>
        <w:rPr>
          <w:sz w:val="22"/>
        </w:rPr>
      </w:pPr>
    </w:p>
    <w:p w:rsidR="001B46BD" w:rsidRDefault="00575911">
      <w:pPr>
        <w:ind w:right="720"/>
        <w:rPr>
          <w:i/>
          <w:sz w:val="22"/>
        </w:rPr>
      </w:pPr>
      <w:proofErr w:type="gramStart"/>
      <w:r>
        <w:rPr>
          <w:sz w:val="22"/>
        </w:rPr>
        <w:t>Table 4.</w:t>
      </w:r>
      <w:proofErr w:type="gramEnd"/>
      <w:r>
        <w:rPr>
          <w:sz w:val="22"/>
        </w:rPr>
        <w:t xml:space="preserve">  Overall Bonneville passage times, full forebay (first and last contact in a Bonneville forebay) and final forebay (first and last contact of passage forebay) and tailrace times, by passage routes, in quartiles (hh:mm)</w:t>
      </w:r>
      <w:proofErr w:type="gramStart"/>
      <w:r>
        <w:rPr>
          <w:sz w:val="22"/>
        </w:rPr>
        <w:t xml:space="preserve">. </w:t>
      </w:r>
      <w:proofErr w:type="gramEnd"/>
      <w:r>
        <w:rPr>
          <w:sz w:val="22"/>
        </w:rPr>
        <w:t xml:space="preserve">Note:  Three kelts at PH I, without routes specific passage information not depicted.  Q1 = </w:t>
      </w:r>
      <w:proofErr w:type="gramStart"/>
      <w:r>
        <w:rPr>
          <w:sz w:val="22"/>
        </w:rPr>
        <w:t>25</w:t>
      </w:r>
      <w:r>
        <w:rPr>
          <w:sz w:val="22"/>
          <w:vertAlign w:val="superscript"/>
        </w:rPr>
        <w:t>th</w:t>
      </w:r>
      <w:r>
        <w:rPr>
          <w:sz w:val="22"/>
        </w:rPr>
        <w:t xml:space="preserve">  percentile</w:t>
      </w:r>
      <w:proofErr w:type="gramEnd"/>
      <w:r>
        <w:rPr>
          <w:sz w:val="22"/>
        </w:rPr>
        <w:t>, median times, and  Q3 =75</w:t>
      </w:r>
      <w:r>
        <w:rPr>
          <w:sz w:val="22"/>
          <w:vertAlign w:val="superscript"/>
        </w:rPr>
        <w:t>th</w:t>
      </w:r>
      <w:r>
        <w:rPr>
          <w:sz w:val="22"/>
        </w:rPr>
        <w:t xml:space="preserve"> percentile.  </w:t>
      </w:r>
    </w:p>
    <w:p w:rsidR="001B46BD" w:rsidRDefault="001B46BD">
      <w:pPr>
        <w:ind w:right="720"/>
        <w:rPr>
          <w:sz w:val="22"/>
        </w:rPr>
      </w:pPr>
    </w:p>
    <w:p w:rsidR="001B46BD" w:rsidRDefault="001B46BD"/>
    <w:tbl>
      <w:tblPr>
        <w:tblW w:w="0" w:type="auto"/>
        <w:tblLayout w:type="fixed"/>
        <w:tblLook w:val="0000"/>
      </w:tblPr>
      <w:tblGrid>
        <w:gridCol w:w="1548"/>
        <w:gridCol w:w="540"/>
        <w:gridCol w:w="720"/>
        <w:gridCol w:w="900"/>
        <w:gridCol w:w="720"/>
        <w:gridCol w:w="270"/>
        <w:gridCol w:w="720"/>
        <w:gridCol w:w="900"/>
        <w:gridCol w:w="810"/>
        <w:gridCol w:w="270"/>
        <w:gridCol w:w="720"/>
        <w:gridCol w:w="900"/>
        <w:gridCol w:w="720"/>
        <w:gridCol w:w="270"/>
        <w:gridCol w:w="720"/>
        <w:gridCol w:w="900"/>
        <w:gridCol w:w="720"/>
      </w:tblGrid>
      <w:tr w:rsidR="001B46BD">
        <w:trPr>
          <w:cantSplit/>
          <w:trHeight w:hRule="exact" w:val="320"/>
        </w:trPr>
        <w:tc>
          <w:tcPr>
            <w:tcW w:w="1548" w:type="dxa"/>
          </w:tcPr>
          <w:p w:rsidR="001B46BD" w:rsidRDefault="001B46BD"/>
        </w:tc>
        <w:tc>
          <w:tcPr>
            <w:tcW w:w="540" w:type="dxa"/>
          </w:tcPr>
          <w:p w:rsidR="001B46BD" w:rsidRDefault="001B46BD">
            <w:pPr>
              <w:rPr>
                <w:sz w:val="18"/>
                <w:u w:val="single"/>
              </w:rPr>
            </w:pPr>
          </w:p>
        </w:tc>
        <w:tc>
          <w:tcPr>
            <w:tcW w:w="2340" w:type="dxa"/>
            <w:gridSpan w:val="3"/>
            <w:vAlign w:val="bottom"/>
          </w:tcPr>
          <w:p w:rsidR="001B46BD" w:rsidRDefault="00575911">
            <w:pPr>
              <w:pStyle w:val="Heading4"/>
              <w:rPr>
                <w:rFonts w:ascii="Arial" w:hAnsi="Arial"/>
                <w:sz w:val="18"/>
              </w:rPr>
            </w:pPr>
            <w:r>
              <w:rPr>
                <w:rFonts w:ascii="Arial" w:hAnsi="Arial"/>
                <w:sz w:val="18"/>
              </w:rPr>
              <w:t>Overall Passage</w:t>
            </w:r>
          </w:p>
        </w:tc>
        <w:tc>
          <w:tcPr>
            <w:tcW w:w="270" w:type="dxa"/>
          </w:tcPr>
          <w:p w:rsidR="001B46BD" w:rsidRDefault="001B46BD">
            <w:pPr>
              <w:pStyle w:val="Heading4"/>
              <w:rPr>
                <w:rFonts w:ascii="Arial" w:hAnsi="Arial"/>
                <w:sz w:val="18"/>
              </w:rPr>
            </w:pPr>
          </w:p>
        </w:tc>
        <w:tc>
          <w:tcPr>
            <w:tcW w:w="2430" w:type="dxa"/>
            <w:gridSpan w:val="3"/>
            <w:vAlign w:val="bottom"/>
          </w:tcPr>
          <w:p w:rsidR="001B46BD" w:rsidRDefault="00575911">
            <w:pPr>
              <w:pStyle w:val="Heading4"/>
              <w:rPr>
                <w:rFonts w:ascii="Arial" w:hAnsi="Arial"/>
                <w:sz w:val="18"/>
              </w:rPr>
            </w:pPr>
            <w:r>
              <w:rPr>
                <w:rFonts w:ascii="Arial" w:hAnsi="Arial"/>
                <w:sz w:val="18"/>
              </w:rPr>
              <w:t>Full Forebay</w:t>
            </w:r>
          </w:p>
        </w:tc>
        <w:tc>
          <w:tcPr>
            <w:tcW w:w="270" w:type="dxa"/>
          </w:tcPr>
          <w:p w:rsidR="001B46BD" w:rsidRDefault="001B46BD">
            <w:pPr>
              <w:pStyle w:val="Heading4"/>
              <w:rPr>
                <w:rFonts w:ascii="Arial" w:hAnsi="Arial"/>
                <w:sz w:val="18"/>
              </w:rPr>
            </w:pPr>
          </w:p>
        </w:tc>
        <w:tc>
          <w:tcPr>
            <w:tcW w:w="2340" w:type="dxa"/>
            <w:gridSpan w:val="3"/>
            <w:vAlign w:val="bottom"/>
          </w:tcPr>
          <w:p w:rsidR="001B46BD" w:rsidRDefault="00575911">
            <w:pPr>
              <w:pStyle w:val="Heading4"/>
              <w:rPr>
                <w:rFonts w:ascii="Arial" w:hAnsi="Arial"/>
                <w:sz w:val="18"/>
              </w:rPr>
            </w:pPr>
            <w:r>
              <w:rPr>
                <w:rFonts w:ascii="Arial" w:hAnsi="Arial"/>
                <w:sz w:val="18"/>
              </w:rPr>
              <w:t>Final Forebay</w:t>
            </w:r>
          </w:p>
        </w:tc>
        <w:tc>
          <w:tcPr>
            <w:tcW w:w="270" w:type="dxa"/>
            <w:vAlign w:val="bottom"/>
          </w:tcPr>
          <w:p w:rsidR="001B46BD" w:rsidRDefault="001B46BD">
            <w:pPr>
              <w:pStyle w:val="Heading4"/>
              <w:rPr>
                <w:rFonts w:ascii="Arial" w:hAnsi="Arial"/>
                <w:sz w:val="18"/>
              </w:rPr>
            </w:pPr>
          </w:p>
        </w:tc>
        <w:tc>
          <w:tcPr>
            <w:tcW w:w="2340" w:type="dxa"/>
            <w:gridSpan w:val="3"/>
            <w:vAlign w:val="bottom"/>
          </w:tcPr>
          <w:p w:rsidR="001B46BD" w:rsidRDefault="00575911">
            <w:pPr>
              <w:pStyle w:val="Heading4"/>
              <w:rPr>
                <w:rFonts w:ascii="Arial" w:hAnsi="Arial"/>
                <w:sz w:val="18"/>
              </w:rPr>
            </w:pPr>
            <w:r>
              <w:rPr>
                <w:rFonts w:ascii="Arial" w:hAnsi="Arial"/>
                <w:sz w:val="18"/>
              </w:rPr>
              <w:t>Tailrace</w:t>
            </w:r>
          </w:p>
        </w:tc>
      </w:tr>
      <w:tr w:rsidR="001B46BD">
        <w:trPr>
          <w:trHeight w:hRule="exact" w:val="320"/>
        </w:trPr>
        <w:tc>
          <w:tcPr>
            <w:tcW w:w="1548" w:type="dxa"/>
          </w:tcPr>
          <w:p w:rsidR="001B46BD" w:rsidRDefault="001B46BD"/>
        </w:tc>
        <w:tc>
          <w:tcPr>
            <w:tcW w:w="540" w:type="dxa"/>
            <w:vAlign w:val="bottom"/>
          </w:tcPr>
          <w:p w:rsidR="001B46BD" w:rsidRDefault="00575911">
            <w:pPr>
              <w:pStyle w:val="Heading1"/>
              <w:jc w:val="center"/>
              <w:rPr>
                <w:rFonts w:ascii="Arial" w:hAnsi="Arial"/>
                <w:sz w:val="18"/>
                <w:u w:val="single"/>
              </w:rPr>
            </w:pPr>
            <w:r>
              <w:rPr>
                <w:rFonts w:ascii="Arial" w:hAnsi="Arial"/>
                <w:sz w:val="18"/>
                <w:u w:val="single"/>
              </w:rPr>
              <w:t>N</w:t>
            </w:r>
          </w:p>
        </w:tc>
        <w:tc>
          <w:tcPr>
            <w:tcW w:w="720" w:type="dxa"/>
            <w:vAlign w:val="bottom"/>
          </w:tcPr>
          <w:p w:rsidR="001B46BD" w:rsidRDefault="00575911">
            <w:pPr>
              <w:jc w:val="center"/>
              <w:rPr>
                <w:rFonts w:ascii="Arial" w:hAnsi="Arial"/>
                <w:b/>
                <w:sz w:val="18"/>
                <w:u w:val="single"/>
              </w:rPr>
            </w:pPr>
            <w:r>
              <w:rPr>
                <w:rFonts w:ascii="Arial" w:hAnsi="Arial"/>
                <w:b/>
                <w:sz w:val="18"/>
                <w:u w:val="single"/>
              </w:rPr>
              <w:t>Q1</w:t>
            </w:r>
          </w:p>
        </w:tc>
        <w:tc>
          <w:tcPr>
            <w:tcW w:w="900" w:type="dxa"/>
            <w:vAlign w:val="bottom"/>
          </w:tcPr>
          <w:p w:rsidR="001B46BD" w:rsidRDefault="00575911">
            <w:pPr>
              <w:jc w:val="center"/>
              <w:rPr>
                <w:rFonts w:ascii="Arial" w:hAnsi="Arial"/>
                <w:b/>
                <w:sz w:val="18"/>
                <w:u w:val="single"/>
              </w:rPr>
            </w:pPr>
            <w:r>
              <w:rPr>
                <w:rFonts w:ascii="Arial" w:hAnsi="Arial"/>
                <w:b/>
                <w:sz w:val="18"/>
                <w:u w:val="single"/>
              </w:rPr>
              <w:t>Median</w:t>
            </w:r>
          </w:p>
        </w:tc>
        <w:tc>
          <w:tcPr>
            <w:tcW w:w="720" w:type="dxa"/>
            <w:vAlign w:val="bottom"/>
          </w:tcPr>
          <w:p w:rsidR="001B46BD" w:rsidRDefault="00575911">
            <w:pPr>
              <w:jc w:val="center"/>
              <w:rPr>
                <w:rFonts w:ascii="Arial" w:hAnsi="Arial"/>
                <w:b/>
                <w:sz w:val="18"/>
                <w:u w:val="single"/>
              </w:rPr>
            </w:pPr>
            <w:r>
              <w:rPr>
                <w:rFonts w:ascii="Arial" w:hAnsi="Arial"/>
                <w:b/>
                <w:sz w:val="18"/>
                <w:u w:val="single"/>
              </w:rPr>
              <w:t>Q3</w:t>
            </w:r>
          </w:p>
        </w:tc>
        <w:tc>
          <w:tcPr>
            <w:tcW w:w="270" w:type="dxa"/>
            <w:vAlign w:val="center"/>
          </w:tcPr>
          <w:p w:rsidR="001B46BD" w:rsidRDefault="001B46BD">
            <w:pPr>
              <w:jc w:val="center"/>
              <w:rPr>
                <w:rFonts w:ascii="Arial" w:hAnsi="Arial"/>
                <w:b/>
                <w:sz w:val="18"/>
                <w:u w:val="single"/>
              </w:rPr>
            </w:pPr>
          </w:p>
        </w:tc>
        <w:tc>
          <w:tcPr>
            <w:tcW w:w="720" w:type="dxa"/>
            <w:vAlign w:val="bottom"/>
          </w:tcPr>
          <w:p w:rsidR="001B46BD" w:rsidRDefault="00575911">
            <w:pPr>
              <w:jc w:val="center"/>
              <w:rPr>
                <w:rFonts w:ascii="Arial" w:hAnsi="Arial"/>
                <w:b/>
                <w:sz w:val="18"/>
                <w:u w:val="single"/>
              </w:rPr>
            </w:pPr>
            <w:r>
              <w:rPr>
                <w:rFonts w:ascii="Arial" w:hAnsi="Arial"/>
                <w:b/>
                <w:sz w:val="18"/>
                <w:u w:val="single"/>
              </w:rPr>
              <w:t>Q1</w:t>
            </w:r>
          </w:p>
        </w:tc>
        <w:tc>
          <w:tcPr>
            <w:tcW w:w="900" w:type="dxa"/>
            <w:vAlign w:val="bottom"/>
          </w:tcPr>
          <w:p w:rsidR="001B46BD" w:rsidRDefault="00575911">
            <w:pPr>
              <w:jc w:val="center"/>
              <w:rPr>
                <w:rFonts w:ascii="Arial" w:hAnsi="Arial"/>
                <w:b/>
                <w:sz w:val="18"/>
                <w:u w:val="single"/>
              </w:rPr>
            </w:pPr>
            <w:r>
              <w:rPr>
                <w:rFonts w:ascii="Arial" w:hAnsi="Arial"/>
                <w:b/>
                <w:sz w:val="18"/>
                <w:u w:val="single"/>
              </w:rPr>
              <w:t>Median</w:t>
            </w:r>
          </w:p>
        </w:tc>
        <w:tc>
          <w:tcPr>
            <w:tcW w:w="810" w:type="dxa"/>
            <w:vAlign w:val="bottom"/>
          </w:tcPr>
          <w:p w:rsidR="001B46BD" w:rsidRDefault="00575911">
            <w:pPr>
              <w:jc w:val="center"/>
              <w:rPr>
                <w:rFonts w:ascii="Arial" w:hAnsi="Arial"/>
                <w:b/>
                <w:sz w:val="18"/>
                <w:u w:val="single"/>
              </w:rPr>
            </w:pPr>
            <w:r>
              <w:rPr>
                <w:rFonts w:ascii="Arial" w:hAnsi="Arial"/>
                <w:b/>
                <w:sz w:val="18"/>
                <w:u w:val="single"/>
              </w:rPr>
              <w:t>Q3</w:t>
            </w:r>
          </w:p>
        </w:tc>
        <w:tc>
          <w:tcPr>
            <w:tcW w:w="270" w:type="dxa"/>
          </w:tcPr>
          <w:p w:rsidR="001B46BD" w:rsidRDefault="001B46BD">
            <w:pPr>
              <w:jc w:val="center"/>
              <w:rPr>
                <w:rFonts w:ascii="Arial" w:hAnsi="Arial"/>
                <w:b/>
                <w:sz w:val="18"/>
                <w:u w:val="single"/>
              </w:rPr>
            </w:pPr>
          </w:p>
        </w:tc>
        <w:tc>
          <w:tcPr>
            <w:tcW w:w="720" w:type="dxa"/>
            <w:vAlign w:val="bottom"/>
          </w:tcPr>
          <w:p w:rsidR="001B46BD" w:rsidRDefault="00575911">
            <w:pPr>
              <w:jc w:val="center"/>
              <w:rPr>
                <w:rFonts w:ascii="Arial" w:hAnsi="Arial"/>
                <w:b/>
                <w:sz w:val="18"/>
                <w:u w:val="single"/>
              </w:rPr>
            </w:pPr>
            <w:r>
              <w:rPr>
                <w:rFonts w:ascii="Arial" w:hAnsi="Arial"/>
                <w:b/>
                <w:sz w:val="18"/>
                <w:u w:val="single"/>
              </w:rPr>
              <w:t>Q1</w:t>
            </w:r>
          </w:p>
        </w:tc>
        <w:tc>
          <w:tcPr>
            <w:tcW w:w="900" w:type="dxa"/>
            <w:vAlign w:val="bottom"/>
          </w:tcPr>
          <w:p w:rsidR="001B46BD" w:rsidRDefault="00575911">
            <w:pPr>
              <w:pStyle w:val="Heading3"/>
              <w:rPr>
                <w:rFonts w:ascii="Arial" w:hAnsi="Arial"/>
                <w:sz w:val="18"/>
                <w:u w:val="single"/>
              </w:rPr>
            </w:pPr>
            <w:r>
              <w:rPr>
                <w:rFonts w:ascii="Arial" w:hAnsi="Arial"/>
                <w:sz w:val="18"/>
                <w:u w:val="single"/>
              </w:rPr>
              <w:t>Median</w:t>
            </w:r>
          </w:p>
        </w:tc>
        <w:tc>
          <w:tcPr>
            <w:tcW w:w="720" w:type="dxa"/>
            <w:vAlign w:val="bottom"/>
          </w:tcPr>
          <w:p w:rsidR="001B46BD" w:rsidRDefault="00575911">
            <w:pPr>
              <w:jc w:val="center"/>
              <w:rPr>
                <w:rFonts w:ascii="Arial" w:hAnsi="Arial"/>
                <w:b/>
                <w:sz w:val="18"/>
                <w:u w:val="single"/>
              </w:rPr>
            </w:pPr>
            <w:r>
              <w:rPr>
                <w:rFonts w:ascii="Arial" w:hAnsi="Arial"/>
                <w:b/>
                <w:sz w:val="18"/>
                <w:u w:val="single"/>
              </w:rPr>
              <w:t>Q3</w:t>
            </w:r>
          </w:p>
        </w:tc>
        <w:tc>
          <w:tcPr>
            <w:tcW w:w="270" w:type="dxa"/>
            <w:vAlign w:val="bottom"/>
          </w:tcPr>
          <w:p w:rsidR="001B46BD" w:rsidRDefault="001B46BD">
            <w:pPr>
              <w:jc w:val="center"/>
              <w:rPr>
                <w:rFonts w:ascii="Arial" w:hAnsi="Arial"/>
                <w:sz w:val="18"/>
              </w:rPr>
            </w:pPr>
          </w:p>
        </w:tc>
        <w:tc>
          <w:tcPr>
            <w:tcW w:w="720" w:type="dxa"/>
            <w:vAlign w:val="bottom"/>
          </w:tcPr>
          <w:p w:rsidR="001B46BD" w:rsidRDefault="00575911">
            <w:pPr>
              <w:jc w:val="center"/>
              <w:rPr>
                <w:rFonts w:ascii="Arial" w:hAnsi="Arial"/>
                <w:b/>
                <w:sz w:val="18"/>
                <w:u w:val="single"/>
              </w:rPr>
            </w:pPr>
            <w:r>
              <w:rPr>
                <w:rFonts w:ascii="Arial" w:hAnsi="Arial"/>
                <w:b/>
                <w:sz w:val="18"/>
                <w:u w:val="single"/>
              </w:rPr>
              <w:t>Q1</w:t>
            </w:r>
          </w:p>
        </w:tc>
        <w:tc>
          <w:tcPr>
            <w:tcW w:w="900" w:type="dxa"/>
            <w:vAlign w:val="bottom"/>
          </w:tcPr>
          <w:p w:rsidR="001B46BD" w:rsidRDefault="00575911">
            <w:pPr>
              <w:jc w:val="center"/>
              <w:rPr>
                <w:rFonts w:ascii="Arial" w:hAnsi="Arial"/>
                <w:b/>
                <w:sz w:val="18"/>
                <w:u w:val="single"/>
              </w:rPr>
            </w:pPr>
            <w:r>
              <w:rPr>
                <w:rFonts w:ascii="Arial" w:hAnsi="Arial"/>
                <w:b/>
                <w:sz w:val="18"/>
                <w:u w:val="single"/>
              </w:rPr>
              <w:t>Median</w:t>
            </w:r>
          </w:p>
        </w:tc>
        <w:tc>
          <w:tcPr>
            <w:tcW w:w="720" w:type="dxa"/>
            <w:vAlign w:val="bottom"/>
          </w:tcPr>
          <w:p w:rsidR="001B46BD" w:rsidRDefault="00575911">
            <w:pPr>
              <w:pStyle w:val="Heading6"/>
            </w:pPr>
            <w:r>
              <w:t>Q3</w:t>
            </w:r>
          </w:p>
        </w:tc>
      </w:tr>
      <w:tr w:rsidR="001B46BD">
        <w:trPr>
          <w:trHeight w:hRule="exact" w:val="320"/>
        </w:trPr>
        <w:tc>
          <w:tcPr>
            <w:tcW w:w="1548" w:type="dxa"/>
          </w:tcPr>
          <w:p w:rsidR="001B46BD" w:rsidRDefault="00575911">
            <w:pPr>
              <w:pStyle w:val="Heading3"/>
              <w:rPr>
                <w:rFonts w:ascii="Arial" w:hAnsi="Arial"/>
                <w:sz w:val="18"/>
              </w:rPr>
            </w:pPr>
            <w:r>
              <w:rPr>
                <w:rFonts w:ascii="Arial" w:hAnsi="Arial"/>
                <w:sz w:val="18"/>
              </w:rPr>
              <w:t>Powerhouse I</w:t>
            </w:r>
          </w:p>
        </w:tc>
        <w:tc>
          <w:tcPr>
            <w:tcW w:w="540" w:type="dxa"/>
            <w:vAlign w:val="center"/>
          </w:tcPr>
          <w:p w:rsidR="001B46BD" w:rsidRDefault="001B46BD">
            <w:pPr>
              <w:rPr>
                <w:b/>
              </w:rPr>
            </w:pPr>
          </w:p>
        </w:tc>
        <w:tc>
          <w:tcPr>
            <w:tcW w:w="720" w:type="dxa"/>
            <w:vAlign w:val="center"/>
          </w:tcPr>
          <w:p w:rsidR="001B46BD" w:rsidRDefault="001B46BD">
            <w:pPr>
              <w:rPr>
                <w:b/>
              </w:rPr>
            </w:pPr>
          </w:p>
        </w:tc>
        <w:tc>
          <w:tcPr>
            <w:tcW w:w="900" w:type="dxa"/>
            <w:vAlign w:val="center"/>
          </w:tcPr>
          <w:p w:rsidR="001B46BD" w:rsidRDefault="001B46BD">
            <w:pPr>
              <w:rPr>
                <w:b/>
              </w:rPr>
            </w:pPr>
          </w:p>
        </w:tc>
        <w:tc>
          <w:tcPr>
            <w:tcW w:w="720" w:type="dxa"/>
            <w:vAlign w:val="center"/>
          </w:tcPr>
          <w:p w:rsidR="001B46BD" w:rsidRDefault="001B46BD">
            <w:pPr>
              <w:rPr>
                <w:b/>
              </w:rPr>
            </w:pPr>
          </w:p>
        </w:tc>
        <w:tc>
          <w:tcPr>
            <w:tcW w:w="270" w:type="dxa"/>
            <w:vAlign w:val="center"/>
          </w:tcPr>
          <w:p w:rsidR="001B46BD" w:rsidRDefault="001B46BD">
            <w:pPr>
              <w:rPr>
                <w:b/>
              </w:rPr>
            </w:pPr>
          </w:p>
        </w:tc>
        <w:tc>
          <w:tcPr>
            <w:tcW w:w="720" w:type="dxa"/>
            <w:vAlign w:val="center"/>
          </w:tcPr>
          <w:p w:rsidR="001B46BD" w:rsidRDefault="001B46BD">
            <w:pPr>
              <w:rPr>
                <w:b/>
              </w:rPr>
            </w:pPr>
          </w:p>
        </w:tc>
        <w:tc>
          <w:tcPr>
            <w:tcW w:w="900" w:type="dxa"/>
            <w:vAlign w:val="center"/>
          </w:tcPr>
          <w:p w:rsidR="001B46BD" w:rsidRDefault="001B46BD">
            <w:pPr>
              <w:pStyle w:val="IndexHeading"/>
              <w:rPr>
                <w:rFonts w:ascii="Times New Roman" w:hAnsi="Times New Roman"/>
                <w:bCs w:val="0"/>
              </w:rPr>
            </w:pPr>
          </w:p>
        </w:tc>
        <w:tc>
          <w:tcPr>
            <w:tcW w:w="810" w:type="dxa"/>
            <w:vAlign w:val="center"/>
          </w:tcPr>
          <w:p w:rsidR="001B46BD" w:rsidRDefault="001B46BD">
            <w:pPr>
              <w:rPr>
                <w:b/>
              </w:rPr>
            </w:pPr>
          </w:p>
        </w:tc>
        <w:tc>
          <w:tcPr>
            <w:tcW w:w="270" w:type="dxa"/>
            <w:vAlign w:val="center"/>
          </w:tcPr>
          <w:p w:rsidR="001B46BD" w:rsidRDefault="001B46BD">
            <w:pPr>
              <w:rPr>
                <w:b/>
              </w:rPr>
            </w:pPr>
          </w:p>
        </w:tc>
        <w:tc>
          <w:tcPr>
            <w:tcW w:w="720" w:type="dxa"/>
            <w:vAlign w:val="center"/>
          </w:tcPr>
          <w:p w:rsidR="001B46BD" w:rsidRDefault="001B46BD">
            <w:pPr>
              <w:rPr>
                <w:b/>
              </w:rPr>
            </w:pPr>
          </w:p>
        </w:tc>
        <w:tc>
          <w:tcPr>
            <w:tcW w:w="900" w:type="dxa"/>
            <w:vAlign w:val="center"/>
          </w:tcPr>
          <w:p w:rsidR="001B46BD" w:rsidRDefault="001B46BD">
            <w:pPr>
              <w:pStyle w:val="Heading3"/>
            </w:pPr>
          </w:p>
        </w:tc>
        <w:tc>
          <w:tcPr>
            <w:tcW w:w="720" w:type="dxa"/>
            <w:vAlign w:val="center"/>
          </w:tcPr>
          <w:p w:rsidR="001B46BD" w:rsidRDefault="001B46BD">
            <w:pPr>
              <w:rPr>
                <w:b/>
              </w:rPr>
            </w:pPr>
          </w:p>
        </w:tc>
        <w:tc>
          <w:tcPr>
            <w:tcW w:w="270" w:type="dxa"/>
            <w:vAlign w:val="center"/>
          </w:tcPr>
          <w:p w:rsidR="001B46BD" w:rsidRDefault="001B46BD"/>
        </w:tc>
        <w:tc>
          <w:tcPr>
            <w:tcW w:w="720" w:type="dxa"/>
            <w:vAlign w:val="center"/>
          </w:tcPr>
          <w:p w:rsidR="001B46BD" w:rsidRDefault="001B46BD">
            <w:pPr>
              <w:rPr>
                <w:b/>
              </w:rPr>
            </w:pPr>
          </w:p>
        </w:tc>
        <w:tc>
          <w:tcPr>
            <w:tcW w:w="900" w:type="dxa"/>
            <w:vAlign w:val="center"/>
          </w:tcPr>
          <w:p w:rsidR="001B46BD" w:rsidRDefault="001B46BD">
            <w:pPr>
              <w:rPr>
                <w:b/>
              </w:rPr>
            </w:pPr>
          </w:p>
        </w:tc>
        <w:tc>
          <w:tcPr>
            <w:tcW w:w="720" w:type="dxa"/>
            <w:vAlign w:val="center"/>
          </w:tcPr>
          <w:p w:rsidR="001B46BD" w:rsidRDefault="001B46BD">
            <w:pPr>
              <w:rPr>
                <w:b/>
              </w:rPr>
            </w:pPr>
          </w:p>
        </w:tc>
      </w:tr>
      <w:tr w:rsidR="001B46BD">
        <w:trPr>
          <w:trHeight w:hRule="exact" w:val="320"/>
        </w:trPr>
        <w:tc>
          <w:tcPr>
            <w:tcW w:w="1548" w:type="dxa"/>
            <w:tcBorders>
              <w:right w:val="single" w:sz="4" w:space="0" w:color="auto"/>
            </w:tcBorders>
          </w:tcPr>
          <w:p w:rsidR="001B46BD" w:rsidRDefault="00575911">
            <w:pPr>
              <w:pStyle w:val="Heading2"/>
              <w:jc w:val="right"/>
              <w:rPr>
                <w:rFonts w:ascii="Arial" w:hAnsi="Arial"/>
                <w:sz w:val="18"/>
              </w:rPr>
            </w:pPr>
            <w:r>
              <w:rPr>
                <w:rFonts w:ascii="Arial" w:hAnsi="Arial"/>
                <w:sz w:val="18"/>
              </w:rPr>
              <w:t>ITS</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8:27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20:41</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21:57</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14:14</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21:01</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53:53</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14:14</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21:01</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53:53</w:t>
            </w:r>
          </w:p>
        </w:tc>
        <w:tc>
          <w:tcPr>
            <w:tcW w:w="270" w:type="dxa"/>
            <w:tcBorders>
              <w:left w:val="single" w:sz="4" w:space="0" w:color="auto"/>
              <w:right w:val="single" w:sz="4" w:space="0" w:color="auto"/>
            </w:tcBorders>
            <w:vAlign w:val="center"/>
          </w:tcPr>
          <w:p w:rsidR="001B46BD" w:rsidRDefault="001B46BD">
            <w:pP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0:12</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0:16</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0:17</w:t>
            </w:r>
          </w:p>
        </w:tc>
      </w:tr>
      <w:tr w:rsidR="001B46BD">
        <w:trPr>
          <w:trHeight w:hRule="exact" w:val="320"/>
        </w:trPr>
        <w:tc>
          <w:tcPr>
            <w:tcW w:w="1548" w:type="dxa"/>
            <w:tcBorders>
              <w:right w:val="single" w:sz="4" w:space="0" w:color="auto"/>
            </w:tcBorders>
          </w:tcPr>
          <w:p w:rsidR="001B46BD" w:rsidRDefault="00575911">
            <w:pPr>
              <w:pStyle w:val="Heading2"/>
              <w:jc w:val="right"/>
              <w:rPr>
                <w:rFonts w:ascii="Arial" w:hAnsi="Arial"/>
                <w:sz w:val="16"/>
              </w:rPr>
            </w:pPr>
            <w:r>
              <w:rPr>
                <w:rFonts w:ascii="Arial" w:hAnsi="Arial"/>
                <w:sz w:val="18"/>
              </w:rPr>
              <w:t>JBS</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5</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3:53</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6:09</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8:26</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2:36</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6:39</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7:11</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2:36</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6:39</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7:11</w:t>
            </w:r>
          </w:p>
        </w:tc>
        <w:tc>
          <w:tcPr>
            <w:tcW w:w="270" w:type="dxa"/>
            <w:tcBorders>
              <w:left w:val="single" w:sz="4" w:space="0" w:color="auto"/>
              <w:right w:val="single" w:sz="4" w:space="0" w:color="auto"/>
            </w:tcBorders>
            <w:vAlign w:val="center"/>
          </w:tcPr>
          <w:p w:rsidR="001B46BD" w:rsidRDefault="001B46BD">
            <w:pP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0:25</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0:25</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0:25</w:t>
            </w:r>
          </w:p>
        </w:tc>
      </w:tr>
      <w:tr w:rsidR="001B46BD">
        <w:trPr>
          <w:trHeight w:hRule="exact" w:val="320"/>
        </w:trPr>
        <w:tc>
          <w:tcPr>
            <w:tcW w:w="1548" w:type="dxa"/>
            <w:tcBorders>
              <w:right w:val="single" w:sz="4" w:space="0" w:color="auto"/>
            </w:tcBorders>
          </w:tcPr>
          <w:p w:rsidR="001B46BD" w:rsidRDefault="00575911">
            <w:pPr>
              <w:pStyle w:val="Heading2"/>
              <w:jc w:val="right"/>
              <w:rPr>
                <w:rFonts w:ascii="Arial" w:hAnsi="Arial"/>
                <w:sz w:val="18"/>
              </w:rPr>
            </w:pPr>
            <w:r>
              <w:rPr>
                <w:rFonts w:ascii="Arial" w:hAnsi="Arial"/>
                <w:sz w:val="18"/>
              </w:rPr>
              <w:t>Turbine</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43</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5:38</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11:38</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21:35</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4:14</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10:34</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23:04</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1:51</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8:49</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20:53</w:t>
            </w:r>
          </w:p>
        </w:tc>
        <w:tc>
          <w:tcPr>
            <w:tcW w:w="270" w:type="dxa"/>
            <w:tcBorders>
              <w:left w:val="single" w:sz="4" w:space="0" w:color="auto"/>
              <w:right w:val="single" w:sz="4" w:space="0" w:color="auto"/>
            </w:tcBorders>
            <w:vAlign w:val="center"/>
          </w:tcPr>
          <w:p w:rsidR="001B46BD" w:rsidRDefault="001B46BD">
            <w:pP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0:14</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0:17</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0:21</w:t>
            </w:r>
          </w:p>
        </w:tc>
      </w:tr>
      <w:tr w:rsidR="001B46BD">
        <w:trPr>
          <w:trHeight w:hRule="exact" w:val="320"/>
        </w:trPr>
        <w:tc>
          <w:tcPr>
            <w:tcW w:w="1548" w:type="dxa"/>
            <w:tcBorders>
              <w:right w:val="single" w:sz="4" w:space="0" w:color="auto"/>
            </w:tcBorders>
          </w:tcPr>
          <w:p w:rsidR="001B46BD" w:rsidRDefault="00575911">
            <w:pPr>
              <w:jc w:val="right"/>
              <w:rPr>
                <w:rFonts w:ascii="Arial" w:hAnsi="Arial"/>
                <w:b/>
                <w:sz w:val="18"/>
              </w:rPr>
            </w:pPr>
            <w:r>
              <w:rPr>
                <w:rFonts w:ascii="Arial" w:hAnsi="Arial"/>
                <w:b/>
                <w:sz w:val="18"/>
              </w:rPr>
              <w:t>All</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55</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5:38</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10:58</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21:35</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4:14</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9:59</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21:40</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2:36</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8:39</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20:53</w:t>
            </w:r>
          </w:p>
        </w:tc>
        <w:tc>
          <w:tcPr>
            <w:tcW w:w="270" w:type="dxa"/>
            <w:tcBorders>
              <w:left w:val="single" w:sz="4" w:space="0" w:color="auto"/>
              <w:right w:val="single" w:sz="4" w:space="0" w:color="auto"/>
            </w:tcBorders>
            <w:vAlign w:val="center"/>
          </w:tcPr>
          <w:p w:rsidR="001B46BD" w:rsidRDefault="001B46BD">
            <w:pP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0:15</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0:17</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0:22</w:t>
            </w:r>
          </w:p>
        </w:tc>
      </w:tr>
      <w:tr w:rsidR="001B46BD">
        <w:trPr>
          <w:trHeight w:hRule="exact" w:val="90"/>
        </w:trPr>
        <w:tc>
          <w:tcPr>
            <w:tcW w:w="1548" w:type="dxa"/>
          </w:tcPr>
          <w:p w:rsidR="001B46BD" w:rsidRDefault="001B46BD">
            <w:pPr>
              <w:rPr>
                <w:rFonts w:ascii="Arial" w:hAnsi="Arial"/>
                <w:b/>
                <w:sz w:val="18"/>
              </w:rPr>
            </w:pPr>
          </w:p>
        </w:tc>
        <w:tc>
          <w:tcPr>
            <w:tcW w:w="540" w:type="dxa"/>
            <w:tcBorders>
              <w:top w:val="single" w:sz="4" w:space="0" w:color="auto"/>
            </w:tcBorders>
            <w:vAlign w:val="center"/>
          </w:tcPr>
          <w:p w:rsidR="001B46BD" w:rsidRDefault="001B46BD">
            <w:pPr>
              <w:jc w:val="center"/>
              <w:rPr>
                <w:rFonts w:ascii="Arial" w:hAnsi="Arial"/>
                <w:sz w:val="20"/>
              </w:rPr>
            </w:pPr>
          </w:p>
        </w:tc>
        <w:tc>
          <w:tcPr>
            <w:tcW w:w="720" w:type="dxa"/>
            <w:tcBorders>
              <w:top w:val="single" w:sz="4" w:space="0" w:color="auto"/>
            </w:tcBorders>
            <w:vAlign w:val="center"/>
          </w:tcPr>
          <w:p w:rsidR="001B46BD" w:rsidRDefault="001B46BD">
            <w:pPr>
              <w:rPr>
                <w:rFonts w:ascii="Arial" w:hAnsi="Arial"/>
                <w:sz w:val="20"/>
              </w:rPr>
            </w:pPr>
          </w:p>
        </w:tc>
        <w:tc>
          <w:tcPr>
            <w:tcW w:w="900" w:type="dxa"/>
            <w:tcBorders>
              <w:top w:val="single" w:sz="4" w:space="0" w:color="auto"/>
            </w:tcBorders>
            <w:vAlign w:val="center"/>
          </w:tcPr>
          <w:p w:rsidR="001B46BD" w:rsidRDefault="001B46BD">
            <w:pPr>
              <w:rPr>
                <w:rFonts w:ascii="Arial" w:hAnsi="Arial"/>
                <w:sz w:val="20"/>
              </w:rPr>
            </w:pPr>
          </w:p>
        </w:tc>
        <w:tc>
          <w:tcPr>
            <w:tcW w:w="720" w:type="dxa"/>
            <w:tcBorders>
              <w:top w:val="single" w:sz="4" w:space="0" w:color="auto"/>
            </w:tcBorders>
            <w:vAlign w:val="center"/>
          </w:tcPr>
          <w:p w:rsidR="001B46BD" w:rsidRDefault="001B46BD">
            <w:pPr>
              <w:rPr>
                <w:rFonts w:ascii="Arial" w:hAnsi="Arial"/>
                <w:sz w:val="20"/>
              </w:rPr>
            </w:pPr>
          </w:p>
        </w:tc>
        <w:tc>
          <w:tcPr>
            <w:tcW w:w="270" w:type="dxa"/>
            <w:vAlign w:val="center"/>
          </w:tcPr>
          <w:p w:rsidR="001B46BD" w:rsidRDefault="001B46BD">
            <w:pPr>
              <w:rPr>
                <w:rFonts w:ascii="Arial" w:hAnsi="Arial"/>
                <w:sz w:val="20"/>
              </w:rPr>
            </w:pPr>
          </w:p>
        </w:tc>
        <w:tc>
          <w:tcPr>
            <w:tcW w:w="720" w:type="dxa"/>
            <w:tcBorders>
              <w:top w:val="single" w:sz="4" w:space="0" w:color="auto"/>
            </w:tcBorders>
            <w:vAlign w:val="center"/>
          </w:tcPr>
          <w:p w:rsidR="001B46BD" w:rsidRDefault="001B46BD">
            <w:pPr>
              <w:rPr>
                <w:rFonts w:ascii="Arial" w:hAnsi="Arial"/>
                <w:sz w:val="20"/>
              </w:rPr>
            </w:pPr>
          </w:p>
        </w:tc>
        <w:tc>
          <w:tcPr>
            <w:tcW w:w="900" w:type="dxa"/>
            <w:tcBorders>
              <w:top w:val="single" w:sz="4" w:space="0" w:color="auto"/>
            </w:tcBorders>
            <w:vAlign w:val="center"/>
          </w:tcPr>
          <w:p w:rsidR="001B46BD" w:rsidRDefault="001B46BD">
            <w:pPr>
              <w:rPr>
                <w:rFonts w:ascii="Arial" w:hAnsi="Arial"/>
                <w:sz w:val="20"/>
              </w:rPr>
            </w:pPr>
          </w:p>
        </w:tc>
        <w:tc>
          <w:tcPr>
            <w:tcW w:w="810" w:type="dxa"/>
            <w:tcBorders>
              <w:top w:val="single" w:sz="4" w:space="0" w:color="auto"/>
            </w:tcBorders>
            <w:vAlign w:val="center"/>
          </w:tcPr>
          <w:p w:rsidR="001B46BD" w:rsidRDefault="001B46BD">
            <w:pPr>
              <w:rPr>
                <w:rFonts w:ascii="Arial" w:hAnsi="Arial"/>
                <w:sz w:val="20"/>
              </w:rPr>
            </w:pPr>
          </w:p>
        </w:tc>
        <w:tc>
          <w:tcPr>
            <w:tcW w:w="270" w:type="dxa"/>
            <w:vAlign w:val="center"/>
          </w:tcPr>
          <w:p w:rsidR="001B46BD" w:rsidRDefault="001B46BD">
            <w:pPr>
              <w:rPr>
                <w:rFonts w:ascii="Arial" w:hAnsi="Arial"/>
                <w:sz w:val="20"/>
              </w:rPr>
            </w:pPr>
          </w:p>
        </w:tc>
        <w:tc>
          <w:tcPr>
            <w:tcW w:w="720" w:type="dxa"/>
            <w:tcBorders>
              <w:top w:val="single" w:sz="4" w:space="0" w:color="auto"/>
            </w:tcBorders>
            <w:vAlign w:val="center"/>
          </w:tcPr>
          <w:p w:rsidR="001B46BD" w:rsidRDefault="001B46BD">
            <w:pPr>
              <w:jc w:val="center"/>
              <w:rPr>
                <w:rFonts w:ascii="Arial" w:hAnsi="Arial"/>
                <w:sz w:val="20"/>
              </w:rPr>
            </w:pPr>
          </w:p>
        </w:tc>
        <w:tc>
          <w:tcPr>
            <w:tcW w:w="900" w:type="dxa"/>
            <w:tcBorders>
              <w:top w:val="single" w:sz="4" w:space="0" w:color="auto"/>
            </w:tcBorders>
            <w:vAlign w:val="center"/>
          </w:tcPr>
          <w:p w:rsidR="001B46BD" w:rsidRDefault="001B46BD">
            <w:pPr>
              <w:jc w:val="center"/>
              <w:rPr>
                <w:rFonts w:ascii="Arial" w:hAnsi="Arial"/>
                <w:sz w:val="20"/>
              </w:rPr>
            </w:pPr>
          </w:p>
        </w:tc>
        <w:tc>
          <w:tcPr>
            <w:tcW w:w="720" w:type="dxa"/>
            <w:tcBorders>
              <w:top w:val="single" w:sz="4" w:space="0" w:color="auto"/>
            </w:tcBorders>
            <w:vAlign w:val="center"/>
          </w:tcPr>
          <w:p w:rsidR="001B46BD" w:rsidRDefault="001B46BD">
            <w:pPr>
              <w:jc w:val="center"/>
              <w:rPr>
                <w:rFonts w:ascii="Arial" w:hAnsi="Arial"/>
                <w:sz w:val="20"/>
              </w:rPr>
            </w:pPr>
          </w:p>
        </w:tc>
        <w:tc>
          <w:tcPr>
            <w:tcW w:w="270" w:type="dxa"/>
            <w:vAlign w:val="center"/>
          </w:tcPr>
          <w:p w:rsidR="001B46BD" w:rsidRDefault="001B46BD">
            <w:pPr>
              <w:rPr>
                <w:rFonts w:ascii="Arial" w:hAnsi="Arial"/>
                <w:sz w:val="20"/>
              </w:rPr>
            </w:pPr>
          </w:p>
        </w:tc>
        <w:tc>
          <w:tcPr>
            <w:tcW w:w="720" w:type="dxa"/>
            <w:tcBorders>
              <w:top w:val="single" w:sz="4" w:space="0" w:color="auto"/>
            </w:tcBorders>
            <w:vAlign w:val="center"/>
          </w:tcPr>
          <w:p w:rsidR="001B46BD" w:rsidRDefault="001B46BD">
            <w:pPr>
              <w:rPr>
                <w:rFonts w:ascii="Arial" w:hAnsi="Arial"/>
                <w:sz w:val="20"/>
              </w:rPr>
            </w:pPr>
          </w:p>
        </w:tc>
        <w:tc>
          <w:tcPr>
            <w:tcW w:w="900" w:type="dxa"/>
            <w:tcBorders>
              <w:top w:val="single" w:sz="4" w:space="0" w:color="auto"/>
            </w:tcBorders>
            <w:vAlign w:val="center"/>
          </w:tcPr>
          <w:p w:rsidR="001B46BD" w:rsidRDefault="001B46BD">
            <w:pPr>
              <w:rPr>
                <w:rFonts w:ascii="Arial" w:hAnsi="Arial"/>
                <w:sz w:val="20"/>
              </w:rPr>
            </w:pPr>
          </w:p>
        </w:tc>
        <w:tc>
          <w:tcPr>
            <w:tcW w:w="720" w:type="dxa"/>
            <w:tcBorders>
              <w:top w:val="single" w:sz="4" w:space="0" w:color="auto"/>
            </w:tcBorders>
            <w:vAlign w:val="center"/>
          </w:tcPr>
          <w:p w:rsidR="001B46BD" w:rsidRDefault="001B46BD">
            <w:pPr>
              <w:rPr>
                <w:rFonts w:ascii="Arial" w:hAnsi="Arial"/>
                <w:sz w:val="20"/>
              </w:rPr>
            </w:pPr>
          </w:p>
        </w:tc>
      </w:tr>
      <w:tr w:rsidR="001B46BD">
        <w:trPr>
          <w:trHeight w:hRule="exact" w:val="360"/>
        </w:trPr>
        <w:tc>
          <w:tcPr>
            <w:tcW w:w="1548" w:type="dxa"/>
          </w:tcPr>
          <w:p w:rsidR="001B46BD" w:rsidRDefault="00575911">
            <w:pPr>
              <w:pStyle w:val="Heading3"/>
              <w:rPr>
                <w:rFonts w:ascii="Arial" w:hAnsi="Arial"/>
                <w:sz w:val="18"/>
              </w:rPr>
            </w:pPr>
            <w:r>
              <w:rPr>
                <w:rFonts w:ascii="Arial" w:hAnsi="Arial"/>
                <w:sz w:val="18"/>
              </w:rPr>
              <w:t>Powerhouse II</w:t>
            </w:r>
          </w:p>
        </w:tc>
        <w:tc>
          <w:tcPr>
            <w:tcW w:w="540" w:type="dxa"/>
            <w:tcBorders>
              <w:bottom w:val="single" w:sz="4" w:space="0" w:color="auto"/>
            </w:tcBorders>
            <w:vAlign w:val="center"/>
          </w:tcPr>
          <w:p w:rsidR="001B46BD" w:rsidRDefault="001B46BD">
            <w:pPr>
              <w:jc w:val="center"/>
              <w:rPr>
                <w:rFonts w:ascii="Arial" w:hAnsi="Arial"/>
                <w:sz w:val="20"/>
              </w:rPr>
            </w:pPr>
          </w:p>
        </w:tc>
        <w:tc>
          <w:tcPr>
            <w:tcW w:w="720" w:type="dxa"/>
            <w:tcBorders>
              <w:bottom w:val="single" w:sz="4" w:space="0" w:color="auto"/>
            </w:tcBorders>
            <w:vAlign w:val="center"/>
          </w:tcPr>
          <w:p w:rsidR="001B46BD" w:rsidRDefault="001B46BD">
            <w:pPr>
              <w:rPr>
                <w:rFonts w:ascii="Arial" w:hAnsi="Arial"/>
                <w:sz w:val="20"/>
              </w:rPr>
            </w:pPr>
          </w:p>
        </w:tc>
        <w:tc>
          <w:tcPr>
            <w:tcW w:w="900" w:type="dxa"/>
            <w:tcBorders>
              <w:bottom w:val="single" w:sz="4" w:space="0" w:color="auto"/>
            </w:tcBorders>
            <w:vAlign w:val="center"/>
          </w:tcPr>
          <w:p w:rsidR="001B46BD" w:rsidRDefault="001B46BD">
            <w:pPr>
              <w:rPr>
                <w:rFonts w:ascii="Arial" w:hAnsi="Arial"/>
                <w:sz w:val="20"/>
              </w:rPr>
            </w:pPr>
          </w:p>
        </w:tc>
        <w:tc>
          <w:tcPr>
            <w:tcW w:w="720" w:type="dxa"/>
            <w:tcBorders>
              <w:bottom w:val="single" w:sz="4" w:space="0" w:color="auto"/>
            </w:tcBorders>
            <w:vAlign w:val="center"/>
          </w:tcPr>
          <w:p w:rsidR="001B46BD" w:rsidRDefault="001B46BD">
            <w:pPr>
              <w:rPr>
                <w:rFonts w:ascii="Arial" w:hAnsi="Arial"/>
                <w:sz w:val="20"/>
              </w:rPr>
            </w:pPr>
          </w:p>
        </w:tc>
        <w:tc>
          <w:tcPr>
            <w:tcW w:w="270" w:type="dxa"/>
            <w:vAlign w:val="center"/>
          </w:tcPr>
          <w:p w:rsidR="001B46BD" w:rsidRDefault="001B46BD">
            <w:pPr>
              <w:rPr>
                <w:rFonts w:ascii="Arial" w:hAnsi="Arial"/>
                <w:sz w:val="20"/>
              </w:rPr>
            </w:pPr>
          </w:p>
        </w:tc>
        <w:tc>
          <w:tcPr>
            <w:tcW w:w="720" w:type="dxa"/>
            <w:tcBorders>
              <w:bottom w:val="single" w:sz="4" w:space="0" w:color="auto"/>
            </w:tcBorders>
            <w:vAlign w:val="center"/>
          </w:tcPr>
          <w:p w:rsidR="001B46BD" w:rsidRDefault="001B46BD">
            <w:pPr>
              <w:rPr>
                <w:rFonts w:ascii="Arial" w:hAnsi="Arial"/>
                <w:sz w:val="20"/>
              </w:rPr>
            </w:pPr>
          </w:p>
        </w:tc>
        <w:tc>
          <w:tcPr>
            <w:tcW w:w="900" w:type="dxa"/>
            <w:tcBorders>
              <w:bottom w:val="single" w:sz="4" w:space="0" w:color="auto"/>
            </w:tcBorders>
            <w:vAlign w:val="center"/>
          </w:tcPr>
          <w:p w:rsidR="001B46BD" w:rsidRDefault="001B46BD">
            <w:pPr>
              <w:rPr>
                <w:rFonts w:ascii="Arial" w:hAnsi="Arial"/>
                <w:sz w:val="20"/>
              </w:rPr>
            </w:pPr>
          </w:p>
        </w:tc>
        <w:tc>
          <w:tcPr>
            <w:tcW w:w="810" w:type="dxa"/>
            <w:tcBorders>
              <w:bottom w:val="single" w:sz="4" w:space="0" w:color="auto"/>
            </w:tcBorders>
            <w:vAlign w:val="center"/>
          </w:tcPr>
          <w:p w:rsidR="001B46BD" w:rsidRDefault="001B46BD">
            <w:pPr>
              <w:rPr>
                <w:rFonts w:ascii="Arial" w:hAnsi="Arial"/>
                <w:sz w:val="20"/>
              </w:rPr>
            </w:pPr>
          </w:p>
        </w:tc>
        <w:tc>
          <w:tcPr>
            <w:tcW w:w="270" w:type="dxa"/>
            <w:vAlign w:val="center"/>
          </w:tcPr>
          <w:p w:rsidR="001B46BD" w:rsidRDefault="001B46BD">
            <w:pPr>
              <w:rPr>
                <w:rFonts w:ascii="Arial" w:hAnsi="Arial"/>
                <w:sz w:val="20"/>
              </w:rPr>
            </w:pPr>
          </w:p>
        </w:tc>
        <w:tc>
          <w:tcPr>
            <w:tcW w:w="720" w:type="dxa"/>
            <w:tcBorders>
              <w:bottom w:val="single" w:sz="4" w:space="0" w:color="auto"/>
            </w:tcBorders>
            <w:vAlign w:val="center"/>
          </w:tcPr>
          <w:p w:rsidR="001B46BD" w:rsidRDefault="001B46BD">
            <w:pPr>
              <w:jc w:val="center"/>
              <w:rPr>
                <w:rFonts w:ascii="Arial" w:hAnsi="Arial"/>
                <w:sz w:val="20"/>
              </w:rPr>
            </w:pPr>
          </w:p>
        </w:tc>
        <w:tc>
          <w:tcPr>
            <w:tcW w:w="900" w:type="dxa"/>
            <w:tcBorders>
              <w:bottom w:val="single" w:sz="4" w:space="0" w:color="auto"/>
            </w:tcBorders>
            <w:vAlign w:val="center"/>
          </w:tcPr>
          <w:p w:rsidR="001B46BD" w:rsidRDefault="001B46BD">
            <w:pPr>
              <w:jc w:val="center"/>
              <w:rPr>
                <w:rFonts w:ascii="Arial" w:hAnsi="Arial"/>
                <w:sz w:val="20"/>
              </w:rPr>
            </w:pPr>
          </w:p>
        </w:tc>
        <w:tc>
          <w:tcPr>
            <w:tcW w:w="720" w:type="dxa"/>
            <w:tcBorders>
              <w:bottom w:val="single" w:sz="4" w:space="0" w:color="auto"/>
            </w:tcBorders>
            <w:vAlign w:val="center"/>
          </w:tcPr>
          <w:p w:rsidR="001B46BD" w:rsidRDefault="001B46BD">
            <w:pPr>
              <w:jc w:val="center"/>
              <w:rPr>
                <w:rFonts w:ascii="Arial" w:hAnsi="Arial"/>
                <w:sz w:val="20"/>
              </w:rPr>
            </w:pPr>
          </w:p>
        </w:tc>
        <w:tc>
          <w:tcPr>
            <w:tcW w:w="270" w:type="dxa"/>
            <w:vAlign w:val="center"/>
          </w:tcPr>
          <w:p w:rsidR="001B46BD" w:rsidRDefault="001B46BD">
            <w:pPr>
              <w:rPr>
                <w:rFonts w:ascii="Arial" w:hAnsi="Arial"/>
                <w:sz w:val="20"/>
              </w:rPr>
            </w:pPr>
          </w:p>
        </w:tc>
        <w:tc>
          <w:tcPr>
            <w:tcW w:w="720" w:type="dxa"/>
            <w:tcBorders>
              <w:bottom w:val="single" w:sz="4" w:space="0" w:color="auto"/>
            </w:tcBorders>
            <w:vAlign w:val="center"/>
          </w:tcPr>
          <w:p w:rsidR="001B46BD" w:rsidRDefault="001B46BD">
            <w:pPr>
              <w:rPr>
                <w:rFonts w:ascii="Arial" w:hAnsi="Arial"/>
                <w:sz w:val="20"/>
              </w:rPr>
            </w:pPr>
          </w:p>
        </w:tc>
        <w:tc>
          <w:tcPr>
            <w:tcW w:w="900" w:type="dxa"/>
            <w:tcBorders>
              <w:bottom w:val="single" w:sz="4" w:space="0" w:color="auto"/>
            </w:tcBorders>
            <w:vAlign w:val="center"/>
          </w:tcPr>
          <w:p w:rsidR="001B46BD" w:rsidRDefault="001B46BD">
            <w:pPr>
              <w:rPr>
                <w:rFonts w:ascii="Arial" w:hAnsi="Arial"/>
                <w:sz w:val="20"/>
              </w:rPr>
            </w:pPr>
          </w:p>
        </w:tc>
        <w:tc>
          <w:tcPr>
            <w:tcW w:w="720" w:type="dxa"/>
            <w:tcBorders>
              <w:bottom w:val="single" w:sz="4" w:space="0" w:color="auto"/>
            </w:tcBorders>
            <w:vAlign w:val="center"/>
          </w:tcPr>
          <w:p w:rsidR="001B46BD" w:rsidRDefault="001B46BD">
            <w:pPr>
              <w:rPr>
                <w:rFonts w:ascii="Arial" w:hAnsi="Arial"/>
                <w:sz w:val="20"/>
              </w:rPr>
            </w:pPr>
          </w:p>
        </w:tc>
      </w:tr>
      <w:tr w:rsidR="001B46BD">
        <w:trPr>
          <w:trHeight w:hRule="exact" w:val="320"/>
        </w:trPr>
        <w:tc>
          <w:tcPr>
            <w:tcW w:w="1548" w:type="dxa"/>
            <w:tcBorders>
              <w:right w:val="single" w:sz="4" w:space="0" w:color="auto"/>
            </w:tcBorders>
          </w:tcPr>
          <w:p w:rsidR="001B46BD" w:rsidRDefault="00575911">
            <w:pPr>
              <w:pStyle w:val="Heading5"/>
              <w:rPr>
                <w:rFonts w:ascii="Arial" w:hAnsi="Arial"/>
                <w:sz w:val="18"/>
              </w:rPr>
            </w:pPr>
            <w:r>
              <w:rPr>
                <w:rFonts w:ascii="Arial" w:hAnsi="Arial"/>
                <w:sz w:val="18"/>
              </w:rPr>
              <w:t>JBS</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6</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13:59</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23:50</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40:49</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6:45</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10:05</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11:49</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6:45</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10:05</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11:49</w:t>
            </w:r>
          </w:p>
        </w:tc>
        <w:tc>
          <w:tcPr>
            <w:tcW w:w="270" w:type="dxa"/>
            <w:tcBorders>
              <w:left w:val="single" w:sz="4" w:space="0" w:color="auto"/>
              <w:right w:val="single" w:sz="4" w:space="0" w:color="auto"/>
            </w:tcBorders>
            <w:vAlign w:val="center"/>
          </w:tcPr>
          <w:p w:rsidR="001B46BD" w:rsidRDefault="001B46BD">
            <w:pP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N/A</w:t>
            </w:r>
          </w:p>
        </w:tc>
      </w:tr>
      <w:tr w:rsidR="001B46BD">
        <w:trPr>
          <w:trHeight w:hRule="exact" w:val="320"/>
        </w:trPr>
        <w:tc>
          <w:tcPr>
            <w:tcW w:w="1548" w:type="dxa"/>
            <w:tcBorders>
              <w:right w:val="single" w:sz="4" w:space="0" w:color="auto"/>
            </w:tcBorders>
          </w:tcPr>
          <w:p w:rsidR="001B46BD" w:rsidRDefault="00575911">
            <w:pPr>
              <w:jc w:val="right"/>
              <w:rPr>
                <w:rFonts w:ascii="Arial" w:hAnsi="Arial"/>
                <w:b/>
                <w:sz w:val="18"/>
              </w:rPr>
            </w:pPr>
            <w:r>
              <w:rPr>
                <w:rFonts w:ascii="Arial" w:hAnsi="Arial"/>
                <w:b/>
                <w:sz w:val="18"/>
              </w:rPr>
              <w:t>Turbine</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23</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3:47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12:19</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23:31</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1:42</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3:48</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13:33</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1:42</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3:37</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10:55</w:t>
            </w:r>
          </w:p>
        </w:tc>
        <w:tc>
          <w:tcPr>
            <w:tcW w:w="270" w:type="dxa"/>
            <w:tcBorders>
              <w:left w:val="single" w:sz="4" w:space="0" w:color="auto"/>
              <w:right w:val="single" w:sz="4" w:space="0" w:color="auto"/>
            </w:tcBorders>
            <w:vAlign w:val="center"/>
          </w:tcPr>
          <w:p w:rsidR="001B46BD" w:rsidRDefault="001B46BD">
            <w:pP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0:37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0:47</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1:08</w:t>
            </w:r>
          </w:p>
        </w:tc>
      </w:tr>
      <w:tr w:rsidR="001B46BD">
        <w:trPr>
          <w:trHeight w:hRule="exact" w:val="320"/>
        </w:trPr>
        <w:tc>
          <w:tcPr>
            <w:tcW w:w="1548" w:type="dxa"/>
            <w:tcBorders>
              <w:right w:val="single" w:sz="4" w:space="0" w:color="auto"/>
            </w:tcBorders>
          </w:tcPr>
          <w:p w:rsidR="001B46BD" w:rsidRDefault="00575911">
            <w:pPr>
              <w:jc w:val="right"/>
              <w:rPr>
                <w:rFonts w:ascii="Arial" w:hAnsi="Arial"/>
                <w:b/>
                <w:sz w:val="18"/>
              </w:rPr>
            </w:pPr>
            <w:r>
              <w:rPr>
                <w:rFonts w:ascii="Arial" w:hAnsi="Arial"/>
                <w:b/>
                <w:sz w:val="18"/>
              </w:rPr>
              <w:t>All</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29</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4:43</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15:21</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31:22</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1:57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6:09</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11:49</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1:57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4:34</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10:55</w:t>
            </w:r>
          </w:p>
        </w:tc>
        <w:tc>
          <w:tcPr>
            <w:tcW w:w="270" w:type="dxa"/>
            <w:tcBorders>
              <w:left w:val="single" w:sz="4" w:space="0" w:color="auto"/>
              <w:right w:val="single" w:sz="4" w:space="0" w:color="auto"/>
            </w:tcBorders>
            <w:vAlign w:val="center"/>
          </w:tcPr>
          <w:p w:rsidR="001B46BD" w:rsidRDefault="001B46BD">
            <w:pP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0:37</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0:47</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1:08</w:t>
            </w:r>
          </w:p>
        </w:tc>
      </w:tr>
      <w:tr w:rsidR="001B46BD">
        <w:trPr>
          <w:trHeight w:hRule="exact" w:val="80"/>
        </w:trPr>
        <w:tc>
          <w:tcPr>
            <w:tcW w:w="1548" w:type="dxa"/>
          </w:tcPr>
          <w:p w:rsidR="001B46BD" w:rsidRDefault="001B46BD">
            <w:pPr>
              <w:rPr>
                <w:rFonts w:ascii="Arial" w:hAnsi="Arial"/>
                <w:b/>
                <w:sz w:val="18"/>
              </w:rPr>
            </w:pPr>
          </w:p>
        </w:tc>
        <w:tc>
          <w:tcPr>
            <w:tcW w:w="540" w:type="dxa"/>
            <w:tcBorders>
              <w:top w:val="single" w:sz="4" w:space="0" w:color="auto"/>
            </w:tcBorders>
            <w:vAlign w:val="center"/>
          </w:tcPr>
          <w:p w:rsidR="001B46BD" w:rsidRDefault="001B46BD">
            <w:pPr>
              <w:jc w:val="center"/>
              <w:rPr>
                <w:rFonts w:ascii="Arial" w:hAnsi="Arial"/>
                <w:sz w:val="20"/>
              </w:rPr>
            </w:pPr>
          </w:p>
        </w:tc>
        <w:tc>
          <w:tcPr>
            <w:tcW w:w="720" w:type="dxa"/>
            <w:tcBorders>
              <w:top w:val="single" w:sz="4" w:space="0" w:color="auto"/>
            </w:tcBorders>
            <w:vAlign w:val="center"/>
          </w:tcPr>
          <w:p w:rsidR="001B46BD" w:rsidRDefault="001B46BD">
            <w:pPr>
              <w:rPr>
                <w:rFonts w:ascii="Arial" w:hAnsi="Arial"/>
                <w:sz w:val="20"/>
              </w:rPr>
            </w:pPr>
          </w:p>
        </w:tc>
        <w:tc>
          <w:tcPr>
            <w:tcW w:w="900" w:type="dxa"/>
            <w:tcBorders>
              <w:top w:val="single" w:sz="4" w:space="0" w:color="auto"/>
            </w:tcBorders>
            <w:vAlign w:val="center"/>
          </w:tcPr>
          <w:p w:rsidR="001B46BD" w:rsidRDefault="001B46BD">
            <w:pPr>
              <w:rPr>
                <w:rFonts w:ascii="Arial" w:hAnsi="Arial"/>
                <w:sz w:val="20"/>
              </w:rPr>
            </w:pPr>
          </w:p>
        </w:tc>
        <w:tc>
          <w:tcPr>
            <w:tcW w:w="720" w:type="dxa"/>
            <w:tcBorders>
              <w:top w:val="single" w:sz="4" w:space="0" w:color="auto"/>
            </w:tcBorders>
            <w:vAlign w:val="center"/>
          </w:tcPr>
          <w:p w:rsidR="001B46BD" w:rsidRDefault="001B46BD">
            <w:pPr>
              <w:rPr>
                <w:rFonts w:ascii="Arial" w:hAnsi="Arial"/>
                <w:sz w:val="20"/>
              </w:rPr>
            </w:pPr>
          </w:p>
        </w:tc>
        <w:tc>
          <w:tcPr>
            <w:tcW w:w="270" w:type="dxa"/>
            <w:vAlign w:val="center"/>
          </w:tcPr>
          <w:p w:rsidR="001B46BD" w:rsidRDefault="001B46BD">
            <w:pPr>
              <w:rPr>
                <w:rFonts w:ascii="Arial" w:hAnsi="Arial"/>
                <w:sz w:val="20"/>
              </w:rPr>
            </w:pPr>
          </w:p>
        </w:tc>
        <w:tc>
          <w:tcPr>
            <w:tcW w:w="720" w:type="dxa"/>
            <w:tcBorders>
              <w:top w:val="single" w:sz="4" w:space="0" w:color="auto"/>
            </w:tcBorders>
            <w:vAlign w:val="center"/>
          </w:tcPr>
          <w:p w:rsidR="001B46BD" w:rsidRDefault="001B46BD">
            <w:pPr>
              <w:rPr>
                <w:rFonts w:ascii="Arial" w:hAnsi="Arial"/>
                <w:sz w:val="20"/>
              </w:rPr>
            </w:pPr>
          </w:p>
        </w:tc>
        <w:tc>
          <w:tcPr>
            <w:tcW w:w="900" w:type="dxa"/>
            <w:tcBorders>
              <w:top w:val="single" w:sz="4" w:space="0" w:color="auto"/>
            </w:tcBorders>
            <w:vAlign w:val="center"/>
          </w:tcPr>
          <w:p w:rsidR="001B46BD" w:rsidRDefault="001B46BD">
            <w:pPr>
              <w:rPr>
                <w:rFonts w:ascii="Arial" w:hAnsi="Arial"/>
                <w:sz w:val="20"/>
              </w:rPr>
            </w:pPr>
          </w:p>
        </w:tc>
        <w:tc>
          <w:tcPr>
            <w:tcW w:w="810" w:type="dxa"/>
            <w:tcBorders>
              <w:top w:val="single" w:sz="4" w:space="0" w:color="auto"/>
            </w:tcBorders>
            <w:vAlign w:val="center"/>
          </w:tcPr>
          <w:p w:rsidR="001B46BD" w:rsidRDefault="001B46BD">
            <w:pPr>
              <w:rPr>
                <w:rFonts w:ascii="Arial" w:hAnsi="Arial"/>
                <w:sz w:val="20"/>
              </w:rPr>
            </w:pPr>
          </w:p>
        </w:tc>
        <w:tc>
          <w:tcPr>
            <w:tcW w:w="270" w:type="dxa"/>
            <w:vAlign w:val="center"/>
          </w:tcPr>
          <w:p w:rsidR="001B46BD" w:rsidRDefault="001B46BD">
            <w:pPr>
              <w:rPr>
                <w:rFonts w:ascii="Arial" w:hAnsi="Arial"/>
                <w:sz w:val="20"/>
              </w:rPr>
            </w:pPr>
          </w:p>
        </w:tc>
        <w:tc>
          <w:tcPr>
            <w:tcW w:w="720" w:type="dxa"/>
            <w:tcBorders>
              <w:top w:val="single" w:sz="4" w:space="0" w:color="auto"/>
            </w:tcBorders>
            <w:vAlign w:val="center"/>
          </w:tcPr>
          <w:p w:rsidR="001B46BD" w:rsidRDefault="001B46BD">
            <w:pPr>
              <w:jc w:val="center"/>
              <w:rPr>
                <w:rFonts w:ascii="Arial" w:hAnsi="Arial"/>
                <w:sz w:val="20"/>
              </w:rPr>
            </w:pPr>
          </w:p>
        </w:tc>
        <w:tc>
          <w:tcPr>
            <w:tcW w:w="900" w:type="dxa"/>
            <w:tcBorders>
              <w:top w:val="single" w:sz="4" w:space="0" w:color="auto"/>
            </w:tcBorders>
            <w:vAlign w:val="center"/>
          </w:tcPr>
          <w:p w:rsidR="001B46BD" w:rsidRDefault="001B46BD">
            <w:pPr>
              <w:jc w:val="center"/>
              <w:rPr>
                <w:rFonts w:ascii="Arial" w:hAnsi="Arial"/>
                <w:sz w:val="20"/>
              </w:rPr>
            </w:pPr>
          </w:p>
        </w:tc>
        <w:tc>
          <w:tcPr>
            <w:tcW w:w="720" w:type="dxa"/>
            <w:tcBorders>
              <w:top w:val="single" w:sz="4" w:space="0" w:color="auto"/>
            </w:tcBorders>
            <w:vAlign w:val="center"/>
          </w:tcPr>
          <w:p w:rsidR="001B46BD" w:rsidRDefault="001B46BD">
            <w:pPr>
              <w:jc w:val="center"/>
              <w:rPr>
                <w:rFonts w:ascii="Arial" w:hAnsi="Arial"/>
                <w:sz w:val="20"/>
              </w:rPr>
            </w:pPr>
          </w:p>
        </w:tc>
        <w:tc>
          <w:tcPr>
            <w:tcW w:w="270" w:type="dxa"/>
            <w:vAlign w:val="center"/>
          </w:tcPr>
          <w:p w:rsidR="001B46BD" w:rsidRDefault="001B46BD">
            <w:pPr>
              <w:rPr>
                <w:rFonts w:ascii="Arial" w:hAnsi="Arial"/>
                <w:sz w:val="20"/>
              </w:rPr>
            </w:pPr>
          </w:p>
        </w:tc>
        <w:tc>
          <w:tcPr>
            <w:tcW w:w="720" w:type="dxa"/>
            <w:tcBorders>
              <w:top w:val="single" w:sz="4" w:space="0" w:color="auto"/>
            </w:tcBorders>
            <w:vAlign w:val="center"/>
          </w:tcPr>
          <w:p w:rsidR="001B46BD" w:rsidRDefault="001B46BD">
            <w:pPr>
              <w:rPr>
                <w:rFonts w:ascii="Arial" w:hAnsi="Arial"/>
                <w:sz w:val="20"/>
              </w:rPr>
            </w:pPr>
          </w:p>
        </w:tc>
        <w:tc>
          <w:tcPr>
            <w:tcW w:w="900" w:type="dxa"/>
            <w:tcBorders>
              <w:top w:val="single" w:sz="4" w:space="0" w:color="auto"/>
            </w:tcBorders>
            <w:vAlign w:val="center"/>
          </w:tcPr>
          <w:p w:rsidR="001B46BD" w:rsidRDefault="001B46BD">
            <w:pPr>
              <w:rPr>
                <w:rFonts w:ascii="Arial" w:hAnsi="Arial"/>
                <w:sz w:val="20"/>
              </w:rPr>
            </w:pPr>
          </w:p>
        </w:tc>
        <w:tc>
          <w:tcPr>
            <w:tcW w:w="720" w:type="dxa"/>
            <w:tcBorders>
              <w:top w:val="single" w:sz="4" w:space="0" w:color="auto"/>
            </w:tcBorders>
            <w:vAlign w:val="center"/>
          </w:tcPr>
          <w:p w:rsidR="001B46BD" w:rsidRDefault="001B46BD">
            <w:pPr>
              <w:rPr>
                <w:rFonts w:ascii="Arial" w:hAnsi="Arial"/>
                <w:sz w:val="20"/>
              </w:rPr>
            </w:pPr>
          </w:p>
        </w:tc>
      </w:tr>
      <w:tr w:rsidR="001B46BD">
        <w:trPr>
          <w:trHeight w:hRule="exact" w:val="320"/>
        </w:trPr>
        <w:tc>
          <w:tcPr>
            <w:tcW w:w="1548" w:type="dxa"/>
          </w:tcPr>
          <w:p w:rsidR="001B46BD" w:rsidRDefault="00575911">
            <w:pPr>
              <w:rPr>
                <w:rFonts w:ascii="Arial" w:hAnsi="Arial"/>
                <w:b/>
                <w:sz w:val="18"/>
              </w:rPr>
            </w:pPr>
            <w:r>
              <w:rPr>
                <w:rFonts w:ascii="Arial" w:hAnsi="Arial"/>
                <w:b/>
                <w:sz w:val="18"/>
              </w:rPr>
              <w:t>Spillway</w:t>
            </w:r>
          </w:p>
        </w:tc>
        <w:tc>
          <w:tcPr>
            <w:tcW w:w="540" w:type="dxa"/>
            <w:tcBorders>
              <w:bottom w:val="single" w:sz="4" w:space="0" w:color="auto"/>
            </w:tcBorders>
            <w:vAlign w:val="center"/>
          </w:tcPr>
          <w:p w:rsidR="001B46BD" w:rsidRDefault="001B46BD">
            <w:pPr>
              <w:jc w:val="center"/>
              <w:rPr>
                <w:rFonts w:ascii="Arial" w:hAnsi="Arial"/>
                <w:sz w:val="20"/>
              </w:rPr>
            </w:pPr>
          </w:p>
        </w:tc>
        <w:tc>
          <w:tcPr>
            <w:tcW w:w="720" w:type="dxa"/>
            <w:tcBorders>
              <w:bottom w:val="single" w:sz="4" w:space="0" w:color="auto"/>
            </w:tcBorders>
            <w:vAlign w:val="center"/>
          </w:tcPr>
          <w:p w:rsidR="001B46BD" w:rsidRDefault="001B46BD">
            <w:pPr>
              <w:rPr>
                <w:rFonts w:ascii="Arial" w:hAnsi="Arial"/>
                <w:sz w:val="20"/>
              </w:rPr>
            </w:pPr>
          </w:p>
        </w:tc>
        <w:tc>
          <w:tcPr>
            <w:tcW w:w="900" w:type="dxa"/>
            <w:tcBorders>
              <w:bottom w:val="single" w:sz="4" w:space="0" w:color="auto"/>
            </w:tcBorders>
            <w:vAlign w:val="center"/>
          </w:tcPr>
          <w:p w:rsidR="001B46BD" w:rsidRDefault="001B46BD">
            <w:pPr>
              <w:rPr>
                <w:rFonts w:ascii="Arial" w:hAnsi="Arial"/>
                <w:sz w:val="20"/>
              </w:rPr>
            </w:pPr>
          </w:p>
        </w:tc>
        <w:tc>
          <w:tcPr>
            <w:tcW w:w="720" w:type="dxa"/>
            <w:tcBorders>
              <w:bottom w:val="single" w:sz="4" w:space="0" w:color="auto"/>
            </w:tcBorders>
            <w:vAlign w:val="center"/>
          </w:tcPr>
          <w:p w:rsidR="001B46BD" w:rsidRDefault="001B46BD">
            <w:pPr>
              <w:rPr>
                <w:rFonts w:ascii="Arial" w:hAnsi="Arial"/>
                <w:sz w:val="20"/>
              </w:rPr>
            </w:pPr>
          </w:p>
        </w:tc>
        <w:tc>
          <w:tcPr>
            <w:tcW w:w="270" w:type="dxa"/>
            <w:vAlign w:val="center"/>
          </w:tcPr>
          <w:p w:rsidR="001B46BD" w:rsidRDefault="001B46BD">
            <w:pPr>
              <w:rPr>
                <w:rFonts w:ascii="Arial" w:hAnsi="Arial"/>
                <w:sz w:val="20"/>
              </w:rPr>
            </w:pPr>
          </w:p>
        </w:tc>
        <w:tc>
          <w:tcPr>
            <w:tcW w:w="720" w:type="dxa"/>
            <w:tcBorders>
              <w:bottom w:val="single" w:sz="4" w:space="0" w:color="auto"/>
            </w:tcBorders>
            <w:vAlign w:val="center"/>
          </w:tcPr>
          <w:p w:rsidR="001B46BD" w:rsidRDefault="001B46BD">
            <w:pPr>
              <w:rPr>
                <w:rFonts w:ascii="Arial" w:hAnsi="Arial"/>
                <w:sz w:val="20"/>
              </w:rPr>
            </w:pPr>
          </w:p>
        </w:tc>
        <w:tc>
          <w:tcPr>
            <w:tcW w:w="900" w:type="dxa"/>
            <w:tcBorders>
              <w:bottom w:val="single" w:sz="4" w:space="0" w:color="auto"/>
            </w:tcBorders>
            <w:vAlign w:val="center"/>
          </w:tcPr>
          <w:p w:rsidR="001B46BD" w:rsidRDefault="001B46BD">
            <w:pPr>
              <w:rPr>
                <w:rFonts w:ascii="Arial" w:hAnsi="Arial"/>
                <w:sz w:val="20"/>
              </w:rPr>
            </w:pPr>
          </w:p>
        </w:tc>
        <w:tc>
          <w:tcPr>
            <w:tcW w:w="810" w:type="dxa"/>
            <w:tcBorders>
              <w:bottom w:val="single" w:sz="4" w:space="0" w:color="auto"/>
            </w:tcBorders>
            <w:vAlign w:val="center"/>
          </w:tcPr>
          <w:p w:rsidR="001B46BD" w:rsidRDefault="001B46BD">
            <w:pPr>
              <w:rPr>
                <w:rFonts w:ascii="Arial" w:hAnsi="Arial"/>
                <w:sz w:val="20"/>
              </w:rPr>
            </w:pPr>
          </w:p>
        </w:tc>
        <w:tc>
          <w:tcPr>
            <w:tcW w:w="270" w:type="dxa"/>
            <w:vAlign w:val="center"/>
          </w:tcPr>
          <w:p w:rsidR="001B46BD" w:rsidRDefault="001B46BD">
            <w:pPr>
              <w:rPr>
                <w:rFonts w:ascii="Arial" w:hAnsi="Arial"/>
                <w:sz w:val="20"/>
              </w:rPr>
            </w:pPr>
          </w:p>
        </w:tc>
        <w:tc>
          <w:tcPr>
            <w:tcW w:w="720" w:type="dxa"/>
            <w:tcBorders>
              <w:bottom w:val="single" w:sz="4" w:space="0" w:color="auto"/>
            </w:tcBorders>
            <w:vAlign w:val="center"/>
          </w:tcPr>
          <w:p w:rsidR="001B46BD" w:rsidRDefault="001B46BD">
            <w:pPr>
              <w:jc w:val="center"/>
              <w:rPr>
                <w:rFonts w:ascii="Arial" w:hAnsi="Arial"/>
                <w:sz w:val="20"/>
              </w:rPr>
            </w:pPr>
          </w:p>
        </w:tc>
        <w:tc>
          <w:tcPr>
            <w:tcW w:w="900" w:type="dxa"/>
            <w:tcBorders>
              <w:bottom w:val="single" w:sz="4" w:space="0" w:color="auto"/>
            </w:tcBorders>
            <w:vAlign w:val="center"/>
          </w:tcPr>
          <w:p w:rsidR="001B46BD" w:rsidRDefault="001B46BD">
            <w:pPr>
              <w:jc w:val="center"/>
              <w:rPr>
                <w:rFonts w:ascii="Arial" w:hAnsi="Arial"/>
                <w:sz w:val="20"/>
              </w:rPr>
            </w:pPr>
          </w:p>
        </w:tc>
        <w:tc>
          <w:tcPr>
            <w:tcW w:w="720" w:type="dxa"/>
            <w:tcBorders>
              <w:bottom w:val="single" w:sz="4" w:space="0" w:color="auto"/>
            </w:tcBorders>
            <w:vAlign w:val="center"/>
          </w:tcPr>
          <w:p w:rsidR="001B46BD" w:rsidRDefault="001B46BD">
            <w:pPr>
              <w:jc w:val="center"/>
              <w:rPr>
                <w:rFonts w:ascii="Arial" w:hAnsi="Arial"/>
                <w:sz w:val="20"/>
              </w:rPr>
            </w:pPr>
          </w:p>
        </w:tc>
        <w:tc>
          <w:tcPr>
            <w:tcW w:w="270" w:type="dxa"/>
            <w:vAlign w:val="center"/>
          </w:tcPr>
          <w:p w:rsidR="001B46BD" w:rsidRDefault="001B46BD">
            <w:pPr>
              <w:rPr>
                <w:rFonts w:ascii="Arial" w:hAnsi="Arial"/>
                <w:sz w:val="20"/>
              </w:rPr>
            </w:pPr>
          </w:p>
        </w:tc>
        <w:tc>
          <w:tcPr>
            <w:tcW w:w="720" w:type="dxa"/>
            <w:tcBorders>
              <w:bottom w:val="single" w:sz="4" w:space="0" w:color="auto"/>
            </w:tcBorders>
            <w:vAlign w:val="center"/>
          </w:tcPr>
          <w:p w:rsidR="001B46BD" w:rsidRDefault="001B46BD">
            <w:pPr>
              <w:rPr>
                <w:rFonts w:ascii="Arial" w:hAnsi="Arial"/>
                <w:sz w:val="20"/>
              </w:rPr>
            </w:pPr>
          </w:p>
        </w:tc>
        <w:tc>
          <w:tcPr>
            <w:tcW w:w="900" w:type="dxa"/>
            <w:tcBorders>
              <w:bottom w:val="single" w:sz="4" w:space="0" w:color="auto"/>
            </w:tcBorders>
            <w:vAlign w:val="center"/>
          </w:tcPr>
          <w:p w:rsidR="001B46BD" w:rsidRDefault="001B46BD">
            <w:pPr>
              <w:rPr>
                <w:rFonts w:ascii="Arial" w:hAnsi="Arial"/>
                <w:sz w:val="20"/>
              </w:rPr>
            </w:pPr>
          </w:p>
        </w:tc>
        <w:tc>
          <w:tcPr>
            <w:tcW w:w="720" w:type="dxa"/>
            <w:tcBorders>
              <w:bottom w:val="single" w:sz="4" w:space="0" w:color="auto"/>
            </w:tcBorders>
            <w:vAlign w:val="center"/>
          </w:tcPr>
          <w:p w:rsidR="001B46BD" w:rsidRDefault="001B46BD">
            <w:pPr>
              <w:rPr>
                <w:rFonts w:ascii="Arial" w:hAnsi="Arial"/>
                <w:sz w:val="20"/>
              </w:rPr>
            </w:pPr>
          </w:p>
        </w:tc>
      </w:tr>
      <w:tr w:rsidR="001B46BD">
        <w:trPr>
          <w:trHeight w:hRule="exact" w:val="320"/>
        </w:trPr>
        <w:tc>
          <w:tcPr>
            <w:tcW w:w="1548" w:type="dxa"/>
            <w:tcBorders>
              <w:right w:val="single" w:sz="4" w:space="0" w:color="auto"/>
            </w:tcBorders>
          </w:tcPr>
          <w:p w:rsidR="001B46BD" w:rsidRDefault="00575911">
            <w:pPr>
              <w:pStyle w:val="Heading5"/>
              <w:rPr>
                <w:rFonts w:ascii="Arial" w:hAnsi="Arial"/>
                <w:sz w:val="18"/>
              </w:rPr>
            </w:pPr>
            <w:r>
              <w:rPr>
                <w:rFonts w:ascii="Arial" w:hAnsi="Arial"/>
                <w:sz w:val="18"/>
              </w:rPr>
              <w:t>All</w:t>
            </w:r>
          </w:p>
        </w:tc>
        <w:tc>
          <w:tcPr>
            <w:tcW w:w="54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55</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0:43</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1:53</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10:25</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0:09</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0:36</w:t>
            </w:r>
          </w:p>
        </w:tc>
        <w:tc>
          <w:tcPr>
            <w:tcW w:w="81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7:34</w:t>
            </w:r>
          </w:p>
        </w:tc>
        <w:tc>
          <w:tcPr>
            <w:tcW w:w="270" w:type="dxa"/>
            <w:tcBorders>
              <w:left w:val="single" w:sz="4" w:space="0" w:color="auto"/>
              <w:right w:val="single" w:sz="4" w:space="0" w:color="auto"/>
            </w:tcBorders>
            <w:vAlign w:val="center"/>
          </w:tcPr>
          <w:p w:rsidR="001B46BD" w:rsidRDefault="001B46BD">
            <w:pPr>
              <w:jc w:val="cente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0:08</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0:15</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2:12</w:t>
            </w:r>
          </w:p>
        </w:tc>
        <w:tc>
          <w:tcPr>
            <w:tcW w:w="270" w:type="dxa"/>
            <w:tcBorders>
              <w:left w:val="single" w:sz="4" w:space="0" w:color="auto"/>
              <w:right w:val="single" w:sz="4" w:space="0" w:color="auto"/>
            </w:tcBorders>
            <w:vAlign w:val="center"/>
          </w:tcPr>
          <w:p w:rsidR="001B46BD" w:rsidRDefault="001B46BD">
            <w:pPr>
              <w:rPr>
                <w:rFonts w:ascii="Arial" w:hAnsi="Arial"/>
                <w:sz w:val="20"/>
              </w:rPr>
            </w:pP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0:22</w:t>
            </w:r>
          </w:p>
        </w:tc>
        <w:tc>
          <w:tcPr>
            <w:tcW w:w="90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0:27</w:t>
            </w:r>
          </w:p>
        </w:tc>
        <w:tc>
          <w:tcPr>
            <w:tcW w:w="720" w:type="dxa"/>
            <w:tcBorders>
              <w:top w:val="single" w:sz="4" w:space="0" w:color="auto"/>
              <w:left w:val="single" w:sz="4" w:space="0" w:color="auto"/>
              <w:bottom w:val="single" w:sz="4" w:space="0" w:color="auto"/>
              <w:right w:val="single" w:sz="4" w:space="0" w:color="auto"/>
            </w:tcBorders>
            <w:vAlign w:val="center"/>
          </w:tcPr>
          <w:p w:rsidR="001B46BD" w:rsidRDefault="00575911">
            <w:pPr>
              <w:jc w:val="center"/>
              <w:rPr>
                <w:rFonts w:ascii="Arial" w:hAnsi="Arial"/>
                <w:sz w:val="20"/>
              </w:rPr>
            </w:pPr>
            <w:r>
              <w:rPr>
                <w:rFonts w:ascii="Arial" w:hAnsi="Arial"/>
                <w:sz w:val="20"/>
              </w:rPr>
              <w:t>0:46</w:t>
            </w:r>
          </w:p>
        </w:tc>
      </w:tr>
    </w:tbl>
    <w:p w:rsidR="001B46BD" w:rsidRDefault="001B46BD">
      <w:pPr>
        <w:pStyle w:val="BodyTextIndent"/>
        <w:spacing w:line="360" w:lineRule="auto"/>
        <w:ind w:left="0" w:firstLine="0"/>
      </w:pPr>
    </w:p>
    <w:p w:rsidR="001B46BD" w:rsidRDefault="001B46BD">
      <w:pPr>
        <w:pStyle w:val="BodyTextIndent"/>
        <w:spacing w:line="360" w:lineRule="auto"/>
        <w:ind w:firstLine="0"/>
      </w:pPr>
    </w:p>
    <w:p w:rsidR="001B46BD" w:rsidRDefault="001B46BD">
      <w:pPr>
        <w:pStyle w:val="BodyTextIndent"/>
        <w:spacing w:line="360" w:lineRule="auto"/>
        <w:ind w:firstLine="0"/>
      </w:pPr>
    </w:p>
    <w:p w:rsidR="001B46BD" w:rsidRDefault="001B46BD">
      <w:pPr>
        <w:pStyle w:val="BodyTextIndent"/>
        <w:spacing w:line="360" w:lineRule="auto"/>
        <w:ind w:firstLine="0"/>
      </w:pPr>
    </w:p>
    <w:p w:rsidR="001B46BD" w:rsidRDefault="001B46BD">
      <w:pPr>
        <w:pStyle w:val="BodyTextIndent"/>
        <w:spacing w:line="360" w:lineRule="auto"/>
        <w:ind w:firstLine="0"/>
      </w:pPr>
    </w:p>
    <w:p w:rsidR="001B46BD" w:rsidRDefault="001B46BD">
      <w:pPr>
        <w:pStyle w:val="BodyTextIndent"/>
        <w:spacing w:line="360" w:lineRule="auto"/>
        <w:ind w:firstLine="0"/>
      </w:pPr>
    </w:p>
    <w:p w:rsidR="001B46BD" w:rsidRDefault="001B46BD">
      <w:pPr>
        <w:pStyle w:val="BodyTextIndent"/>
        <w:spacing w:line="360" w:lineRule="auto"/>
        <w:ind w:firstLine="0"/>
      </w:pPr>
    </w:p>
    <w:p w:rsidR="001B46BD" w:rsidRDefault="001B46BD">
      <w:pPr>
        <w:pStyle w:val="BodyTextIndent"/>
        <w:spacing w:line="360" w:lineRule="auto"/>
        <w:ind w:firstLine="0"/>
      </w:pPr>
    </w:p>
    <w:p w:rsidR="001B46BD" w:rsidRDefault="001B46BD">
      <w:pPr>
        <w:pStyle w:val="BodyTextIndent"/>
        <w:spacing w:line="360" w:lineRule="auto"/>
        <w:ind w:firstLine="0"/>
        <w:sectPr w:rsidR="001B46BD">
          <w:headerReference w:type="default" r:id="rId18"/>
          <w:footerReference w:type="default" r:id="rId19"/>
          <w:footerReference w:type="first" r:id="rId20"/>
          <w:type w:val="continuous"/>
          <w:pgSz w:w="15840" w:h="12240" w:orient="landscape" w:code="1"/>
          <w:pgMar w:top="1440" w:right="1440" w:bottom="1440" w:left="1440" w:header="720" w:footer="720" w:gutter="0"/>
          <w:pgNumType w:start="15"/>
          <w:cols w:space="720"/>
          <w:titlePg/>
          <w:docGrid w:linePitch="360"/>
        </w:sectPr>
      </w:pPr>
    </w:p>
    <w:p w:rsidR="001B46BD" w:rsidRDefault="00575911">
      <w:pPr>
        <w:pStyle w:val="Title"/>
        <w:jc w:val="left"/>
        <w:rPr>
          <w:sz w:val="24"/>
        </w:rPr>
      </w:pPr>
      <w:r>
        <w:rPr>
          <w:b w:val="0"/>
          <w:bCs/>
          <w:sz w:val="24"/>
        </w:rPr>
        <w:lastRenderedPageBreak/>
        <w:t>Figure 1</w:t>
      </w:r>
      <w:proofErr w:type="gramStart"/>
      <w:r>
        <w:rPr>
          <w:b w:val="0"/>
          <w:bCs/>
          <w:sz w:val="24"/>
        </w:rPr>
        <w:t xml:space="preserve">. </w:t>
      </w:r>
      <w:proofErr w:type="gramEnd"/>
      <w:r>
        <w:rPr>
          <w:b w:val="0"/>
          <w:bCs/>
          <w:sz w:val="24"/>
        </w:rPr>
        <w:t xml:space="preserve">Map of Bonneville Dam indicating all forebay and tailrace areas for the various routes of Steelhead </w:t>
      </w:r>
      <w:proofErr w:type="gramStart"/>
      <w:r>
        <w:rPr>
          <w:b w:val="0"/>
          <w:bCs/>
          <w:sz w:val="24"/>
        </w:rPr>
        <w:t>kelt</w:t>
      </w:r>
      <w:proofErr w:type="gramEnd"/>
      <w:r>
        <w:rPr>
          <w:b w:val="0"/>
          <w:bCs/>
          <w:sz w:val="24"/>
        </w:rPr>
        <w:t xml:space="preserve"> passage.</w:t>
      </w:r>
    </w:p>
    <w:p w:rsidR="001B46BD" w:rsidRDefault="001B46BD">
      <w:pPr>
        <w:pStyle w:val="Title"/>
        <w:rPr>
          <w:sz w:val="24"/>
        </w:rPr>
      </w:pPr>
    </w:p>
    <w:p w:rsidR="001B46BD" w:rsidRDefault="001B46BD">
      <w:pPr>
        <w:pStyle w:val="Title"/>
        <w:rPr>
          <w:sz w:val="24"/>
        </w:rPr>
      </w:pPr>
    </w:p>
    <w:p w:rsidR="001B46BD" w:rsidRDefault="00BF5BC2">
      <w:pPr>
        <w:pStyle w:val="Title"/>
        <w:rPr>
          <w:sz w:val="24"/>
        </w:rPr>
      </w:pPr>
      <w:r>
        <w:rPr>
          <w:noProof/>
          <w:sz w:val="24"/>
        </w:rPr>
        <w:drawing>
          <wp:inline distT="0" distB="0" distL="0" distR="0">
            <wp:extent cx="5937250" cy="4214495"/>
            <wp:effectExtent l="19050" t="0" r="6350" b="0"/>
            <wp:docPr id="2" name="Picture 2" descr="..\FIGURES\B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BON.bmp"/>
                    <pic:cNvPicPr>
                      <a:picLocks noChangeAspect="1" noChangeArrowheads="1"/>
                    </pic:cNvPicPr>
                  </pic:nvPicPr>
                  <pic:blipFill>
                    <a:blip r:embed="rId21" cstate="print"/>
                    <a:srcRect/>
                    <a:stretch>
                      <a:fillRect/>
                    </a:stretch>
                  </pic:blipFill>
                  <pic:spPr bwMode="auto">
                    <a:xfrm>
                      <a:off x="0" y="0"/>
                      <a:ext cx="5937250" cy="4214495"/>
                    </a:xfrm>
                    <a:prstGeom prst="rect">
                      <a:avLst/>
                    </a:prstGeom>
                    <a:noFill/>
                    <a:ln w="9525">
                      <a:noFill/>
                      <a:miter lim="800000"/>
                      <a:headEnd/>
                      <a:tailEnd/>
                    </a:ln>
                  </pic:spPr>
                </pic:pic>
              </a:graphicData>
            </a:graphic>
          </wp:inline>
        </w:drawing>
      </w: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575911">
      <w:r>
        <w:lastRenderedPageBreak/>
        <w:t>Figure 3</w:t>
      </w:r>
      <w:proofErr w:type="gramStart"/>
      <w:r>
        <w:t>. Percentage of weekly flow at Bonneville Dam through PHI, PHII and the spillway from April through May 2000.</w:t>
      </w:r>
      <w:proofErr w:type="gramEnd"/>
    </w:p>
    <w:p w:rsidR="001B46BD" w:rsidRDefault="001B46BD"/>
    <w:p w:rsidR="001B46BD" w:rsidRDefault="00BF5BC2">
      <w:pPr>
        <w:pStyle w:val="Title"/>
        <w:rPr>
          <w:sz w:val="24"/>
        </w:rPr>
      </w:pPr>
      <w:r>
        <w:rPr>
          <w:noProof/>
        </w:rPr>
        <w:drawing>
          <wp:anchor distT="0" distB="0" distL="114300" distR="114300" simplePos="0" relativeHeight="251656704" behindDoc="0" locked="0" layoutInCell="1" allowOverlap="1">
            <wp:simplePos x="0" y="0"/>
            <wp:positionH relativeFrom="column">
              <wp:posOffset>-114300</wp:posOffset>
            </wp:positionH>
            <wp:positionV relativeFrom="paragraph">
              <wp:posOffset>388620</wp:posOffset>
            </wp:positionV>
            <wp:extent cx="5521325" cy="3822700"/>
            <wp:effectExtent l="0" t="0" r="0" b="0"/>
            <wp:wrapTopAndBottom/>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rPr>
          <w:sz w:val="24"/>
        </w:rPr>
      </w:pPr>
    </w:p>
    <w:p w:rsidR="001B46BD" w:rsidRDefault="001B46BD">
      <w:pPr>
        <w:pStyle w:val="Title"/>
        <w:jc w:val="left"/>
        <w:rPr>
          <w:sz w:val="24"/>
        </w:rPr>
      </w:pPr>
    </w:p>
    <w:p w:rsidR="001B46BD" w:rsidRDefault="001B46BD"/>
    <w:p w:rsidR="001B46BD" w:rsidRDefault="001B46BD"/>
    <w:p w:rsidR="001B46BD" w:rsidRDefault="001B46BD"/>
    <w:p w:rsidR="001B46BD" w:rsidRDefault="001B46BD"/>
    <w:p w:rsidR="001B46BD" w:rsidRDefault="00575911">
      <w:r>
        <w:lastRenderedPageBreak/>
        <w:t>Figure 4</w:t>
      </w:r>
      <w:proofErr w:type="gramStart"/>
      <w:r>
        <w:t xml:space="preserve">. </w:t>
      </w:r>
      <w:proofErr w:type="gramEnd"/>
      <w:r>
        <w:t>Cumulative number of radio receiver antennas contacted (CNOAC) by Steelhead Kelts in the three forebays at Bonneville Dam, spring 2000.</w:t>
      </w:r>
    </w:p>
    <w:p w:rsidR="001B46BD" w:rsidRDefault="001B46BD">
      <w:pPr>
        <w:pStyle w:val="Title"/>
        <w:jc w:val="left"/>
        <w:rPr>
          <w:sz w:val="24"/>
        </w:rPr>
      </w:pPr>
    </w:p>
    <w:p w:rsidR="001B46BD" w:rsidRDefault="001B46BD">
      <w:pPr>
        <w:pStyle w:val="Title"/>
        <w:jc w:val="left"/>
        <w:rPr>
          <w:sz w:val="24"/>
        </w:rPr>
      </w:pPr>
    </w:p>
    <w:p w:rsidR="001B46BD" w:rsidRDefault="00BF5BC2">
      <w:pPr>
        <w:pStyle w:val="Title"/>
        <w:jc w:val="left"/>
        <w:rPr>
          <w:sz w:val="24"/>
        </w:rPr>
      </w:pPr>
      <w:r>
        <w:rPr>
          <w:noProof/>
        </w:rPr>
        <w:drawing>
          <wp:anchor distT="0" distB="0" distL="114300" distR="114300" simplePos="0" relativeHeight="251657728" behindDoc="0" locked="0" layoutInCell="1" allowOverlap="1">
            <wp:simplePos x="0" y="0"/>
            <wp:positionH relativeFrom="column">
              <wp:posOffset>-457200</wp:posOffset>
            </wp:positionH>
            <wp:positionV relativeFrom="paragraph">
              <wp:posOffset>91440</wp:posOffset>
            </wp:positionV>
            <wp:extent cx="6729730" cy="3775075"/>
            <wp:effectExtent l="19050" t="0" r="0" b="0"/>
            <wp:wrapNone/>
            <wp:docPr id="11" name="Picture 11" descr="C:\My Documents\My Word files\Kelt2000\SAS JPEG figures\CNO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 Documents\My Word files\Kelt2000\SAS JPEG figures\CNOAC.jpeg"/>
                    <pic:cNvPicPr>
                      <a:picLocks noChangeAspect="1" noChangeArrowheads="1"/>
                    </pic:cNvPicPr>
                  </pic:nvPicPr>
                  <pic:blipFill>
                    <a:blip r:embed="rId23" cstate="print"/>
                    <a:srcRect/>
                    <a:stretch>
                      <a:fillRect/>
                    </a:stretch>
                  </pic:blipFill>
                  <pic:spPr bwMode="auto">
                    <a:xfrm>
                      <a:off x="0" y="0"/>
                      <a:ext cx="6729730" cy="3775075"/>
                    </a:xfrm>
                    <a:prstGeom prst="rect">
                      <a:avLst/>
                    </a:prstGeom>
                    <a:noFill/>
                  </pic:spPr>
                </pic:pic>
              </a:graphicData>
            </a:graphic>
          </wp:anchor>
        </w:drawing>
      </w: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1B46BD">
      <w:pPr>
        <w:pStyle w:val="Title"/>
        <w:jc w:val="left"/>
        <w:rPr>
          <w:sz w:val="24"/>
        </w:rPr>
      </w:pPr>
    </w:p>
    <w:p w:rsidR="001B46BD" w:rsidRDefault="00575911">
      <w:pPr>
        <w:pStyle w:val="Title"/>
        <w:rPr>
          <w:sz w:val="28"/>
          <w:u w:val="single"/>
        </w:rPr>
      </w:pPr>
      <w:r>
        <w:rPr>
          <w:sz w:val="28"/>
          <w:u w:val="single"/>
        </w:rPr>
        <w:lastRenderedPageBreak/>
        <w:t>Appendix A</w:t>
      </w:r>
    </w:p>
    <w:p w:rsidR="001B46BD" w:rsidRDefault="001B46BD">
      <w:pPr>
        <w:pStyle w:val="Title"/>
        <w:jc w:val="both"/>
        <w:rPr>
          <w:sz w:val="24"/>
        </w:rPr>
      </w:pPr>
    </w:p>
    <w:p w:rsidR="001B46BD" w:rsidRDefault="00575911">
      <w:pPr>
        <w:jc w:val="both"/>
      </w:pPr>
      <w:r>
        <w:t>Fixed receiver/antenna stations installed and maintained by University of Idaho and U.S. Geological Survey researchers and made available to Fisheries Field Unit.</w:t>
      </w:r>
    </w:p>
    <w:p w:rsidR="001B46BD" w:rsidRDefault="001B46BD">
      <w:pPr>
        <w:jc w:val="both"/>
      </w:pPr>
    </w:p>
    <w:p w:rsidR="001B46BD" w:rsidRDefault="001B46BD">
      <w:pPr>
        <w:jc w:val="both"/>
      </w:pPr>
    </w:p>
    <w:p w:rsidR="001B46BD" w:rsidRDefault="00575911">
      <w:pPr>
        <w:jc w:val="both"/>
      </w:pPr>
      <w:r>
        <w:t>University of Idaho fixed stations.</w:t>
      </w:r>
    </w:p>
    <w:p w:rsidR="001B46BD" w:rsidRDefault="001B46BD">
      <w:pPr>
        <w:pStyle w:val="Header"/>
        <w:tabs>
          <w:tab w:val="clear" w:pos="4320"/>
          <w:tab w:val="clear" w:pos="8640"/>
        </w:tabs>
        <w:jc w:val="both"/>
        <w:rPr>
          <w:sz w:val="20"/>
        </w:rPr>
      </w:pPr>
    </w:p>
    <w:tbl>
      <w:tblPr>
        <w:tblW w:w="0" w:type="auto"/>
        <w:tblInd w:w="30" w:type="dxa"/>
        <w:tblLayout w:type="fixed"/>
        <w:tblCellMar>
          <w:left w:w="30" w:type="dxa"/>
          <w:right w:w="30" w:type="dxa"/>
        </w:tblCellMar>
        <w:tblLook w:val="0000"/>
      </w:tblPr>
      <w:tblGrid>
        <w:gridCol w:w="994"/>
        <w:gridCol w:w="1248"/>
        <w:gridCol w:w="1024"/>
        <w:gridCol w:w="1216"/>
        <w:gridCol w:w="4958"/>
      </w:tblGrid>
      <w:tr w:rsidR="001B46BD">
        <w:trPr>
          <w:trHeight w:val="256"/>
        </w:trPr>
        <w:tc>
          <w:tcPr>
            <w:tcW w:w="994" w:type="dxa"/>
          </w:tcPr>
          <w:p w:rsidR="001B46BD" w:rsidRDefault="00575911">
            <w:pPr>
              <w:pStyle w:val="Heading1"/>
              <w:jc w:val="both"/>
              <w:rPr>
                <w:sz w:val="20"/>
              </w:rPr>
            </w:pPr>
            <w:r>
              <w:rPr>
                <w:sz w:val="20"/>
              </w:rPr>
              <w:t>Site</w:t>
            </w:r>
          </w:p>
        </w:tc>
        <w:tc>
          <w:tcPr>
            <w:tcW w:w="1248" w:type="dxa"/>
          </w:tcPr>
          <w:p w:rsidR="001B46BD" w:rsidRDefault="00575911">
            <w:pPr>
              <w:pStyle w:val="Heading1"/>
              <w:jc w:val="both"/>
              <w:rPr>
                <w:sz w:val="20"/>
              </w:rPr>
            </w:pPr>
            <w:r>
              <w:rPr>
                <w:sz w:val="20"/>
              </w:rPr>
              <w:t>Antennas</w:t>
            </w:r>
          </w:p>
        </w:tc>
        <w:tc>
          <w:tcPr>
            <w:tcW w:w="1024" w:type="dxa"/>
          </w:tcPr>
          <w:p w:rsidR="001B46BD" w:rsidRDefault="00575911">
            <w:pPr>
              <w:pStyle w:val="Heading1"/>
              <w:jc w:val="both"/>
              <w:rPr>
                <w:sz w:val="20"/>
              </w:rPr>
            </w:pPr>
            <w:r>
              <w:rPr>
                <w:sz w:val="20"/>
              </w:rPr>
              <w:t>RKM</w:t>
            </w:r>
          </w:p>
        </w:tc>
        <w:tc>
          <w:tcPr>
            <w:tcW w:w="1216" w:type="dxa"/>
          </w:tcPr>
          <w:p w:rsidR="001B46BD" w:rsidRDefault="00575911">
            <w:pPr>
              <w:pStyle w:val="Heading1"/>
              <w:jc w:val="both"/>
              <w:rPr>
                <w:sz w:val="20"/>
              </w:rPr>
            </w:pPr>
            <w:r>
              <w:rPr>
                <w:sz w:val="20"/>
              </w:rPr>
              <w:t>Receiver</w:t>
            </w:r>
          </w:p>
        </w:tc>
        <w:tc>
          <w:tcPr>
            <w:tcW w:w="4958" w:type="dxa"/>
          </w:tcPr>
          <w:p w:rsidR="001B46BD" w:rsidRDefault="00575911">
            <w:pPr>
              <w:pStyle w:val="Heading1"/>
              <w:jc w:val="both"/>
              <w:rPr>
                <w:sz w:val="20"/>
              </w:rPr>
            </w:pPr>
            <w:r>
              <w:rPr>
                <w:sz w:val="20"/>
              </w:rPr>
              <w:t>Description</w:t>
            </w:r>
          </w:p>
        </w:tc>
      </w:tr>
      <w:tr w:rsidR="001B46BD">
        <w:trPr>
          <w:trHeight w:val="256"/>
        </w:trPr>
        <w:tc>
          <w:tcPr>
            <w:tcW w:w="994" w:type="dxa"/>
          </w:tcPr>
          <w:p w:rsidR="001B46BD" w:rsidRDefault="00575911">
            <w:pPr>
              <w:jc w:val="center"/>
              <w:rPr>
                <w:snapToGrid w:val="0"/>
                <w:sz w:val="20"/>
              </w:rPr>
            </w:pPr>
            <w:r>
              <w:rPr>
                <w:snapToGrid w:val="0"/>
                <w:sz w:val="20"/>
              </w:rPr>
              <w:t>1BO</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232.3</w:t>
            </w:r>
          </w:p>
        </w:tc>
        <w:tc>
          <w:tcPr>
            <w:tcW w:w="1216" w:type="dxa"/>
          </w:tcPr>
          <w:p w:rsidR="001B46BD" w:rsidRDefault="00575911">
            <w:pPr>
              <w:jc w:val="center"/>
              <w:rPr>
                <w:snapToGrid w:val="0"/>
                <w:sz w:val="20"/>
              </w:rPr>
            </w:pPr>
            <w:r>
              <w:rPr>
                <w:snapToGrid w:val="0"/>
                <w:sz w:val="20"/>
              </w:rPr>
              <w:t>SRX</w:t>
            </w:r>
          </w:p>
        </w:tc>
        <w:tc>
          <w:tcPr>
            <w:tcW w:w="4958" w:type="dxa"/>
          </w:tcPr>
          <w:p w:rsidR="001B46BD" w:rsidRDefault="00575911">
            <w:pPr>
              <w:jc w:val="both"/>
              <w:rPr>
                <w:snapToGrid w:val="0"/>
                <w:sz w:val="20"/>
              </w:rPr>
            </w:pPr>
            <w:r>
              <w:rPr>
                <w:snapToGrid w:val="0"/>
                <w:sz w:val="20"/>
              </w:rPr>
              <w:t>Washington shore at the Hamilton Island boat ramp</w:t>
            </w:r>
          </w:p>
        </w:tc>
      </w:tr>
      <w:tr w:rsidR="001B46BD">
        <w:trPr>
          <w:trHeight w:val="256"/>
        </w:trPr>
        <w:tc>
          <w:tcPr>
            <w:tcW w:w="994" w:type="dxa"/>
          </w:tcPr>
          <w:p w:rsidR="001B46BD" w:rsidRDefault="00575911">
            <w:pPr>
              <w:jc w:val="center"/>
              <w:rPr>
                <w:snapToGrid w:val="0"/>
                <w:sz w:val="20"/>
              </w:rPr>
            </w:pPr>
            <w:r>
              <w:rPr>
                <w:snapToGrid w:val="0"/>
                <w:sz w:val="20"/>
              </w:rPr>
              <w:t>2BO</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232.3</w:t>
            </w:r>
          </w:p>
        </w:tc>
        <w:tc>
          <w:tcPr>
            <w:tcW w:w="1216" w:type="dxa"/>
          </w:tcPr>
          <w:p w:rsidR="001B46BD" w:rsidRDefault="00575911">
            <w:pPr>
              <w:jc w:val="center"/>
              <w:rPr>
                <w:snapToGrid w:val="0"/>
                <w:sz w:val="20"/>
              </w:rPr>
            </w:pPr>
            <w:r>
              <w:rPr>
                <w:snapToGrid w:val="0"/>
                <w:sz w:val="20"/>
              </w:rPr>
              <w:t>SRX</w:t>
            </w:r>
          </w:p>
        </w:tc>
        <w:tc>
          <w:tcPr>
            <w:tcW w:w="4958" w:type="dxa"/>
          </w:tcPr>
          <w:p w:rsidR="001B46BD" w:rsidRDefault="00575911">
            <w:pPr>
              <w:rPr>
                <w:snapToGrid w:val="0"/>
                <w:sz w:val="20"/>
              </w:rPr>
            </w:pPr>
            <w:r>
              <w:rPr>
                <w:snapToGrid w:val="0"/>
                <w:sz w:val="20"/>
              </w:rPr>
              <w:t>Oregon shore across from the Hamilton Island boat ramp</w:t>
            </w:r>
          </w:p>
        </w:tc>
      </w:tr>
      <w:tr w:rsidR="001B46BD">
        <w:trPr>
          <w:trHeight w:val="256"/>
        </w:trPr>
        <w:tc>
          <w:tcPr>
            <w:tcW w:w="994" w:type="dxa"/>
          </w:tcPr>
          <w:p w:rsidR="001B46BD" w:rsidRDefault="00575911">
            <w:pPr>
              <w:jc w:val="center"/>
              <w:rPr>
                <w:snapToGrid w:val="0"/>
                <w:sz w:val="20"/>
              </w:rPr>
            </w:pPr>
            <w:r>
              <w:rPr>
                <w:snapToGrid w:val="0"/>
                <w:sz w:val="20"/>
              </w:rPr>
              <w:t>SBO</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235.3</w:t>
            </w:r>
          </w:p>
        </w:tc>
        <w:tc>
          <w:tcPr>
            <w:tcW w:w="1216" w:type="dxa"/>
          </w:tcPr>
          <w:p w:rsidR="001B46BD" w:rsidRDefault="00575911">
            <w:pPr>
              <w:jc w:val="center"/>
              <w:rPr>
                <w:snapToGrid w:val="0"/>
                <w:sz w:val="20"/>
              </w:rPr>
            </w:pPr>
            <w:r>
              <w:rPr>
                <w:snapToGrid w:val="0"/>
                <w:sz w:val="20"/>
              </w:rPr>
              <w:t>SRX</w:t>
            </w:r>
          </w:p>
        </w:tc>
        <w:tc>
          <w:tcPr>
            <w:tcW w:w="4958" w:type="dxa"/>
          </w:tcPr>
          <w:p w:rsidR="001B46BD" w:rsidRDefault="00575911">
            <w:pPr>
              <w:rPr>
                <w:snapToGrid w:val="0"/>
                <w:sz w:val="20"/>
              </w:rPr>
            </w:pPr>
            <w:r>
              <w:rPr>
                <w:snapToGrid w:val="0"/>
                <w:sz w:val="20"/>
              </w:rPr>
              <w:t>Forebay above spillway, north shore facing south</w:t>
            </w:r>
          </w:p>
        </w:tc>
      </w:tr>
      <w:tr w:rsidR="001B46BD">
        <w:trPr>
          <w:trHeight w:val="256"/>
        </w:trPr>
        <w:tc>
          <w:tcPr>
            <w:tcW w:w="994" w:type="dxa"/>
          </w:tcPr>
          <w:p w:rsidR="001B46BD" w:rsidRDefault="00575911">
            <w:pPr>
              <w:jc w:val="center"/>
              <w:rPr>
                <w:snapToGrid w:val="0"/>
                <w:sz w:val="20"/>
              </w:rPr>
            </w:pPr>
            <w:r>
              <w:rPr>
                <w:snapToGrid w:val="0"/>
                <w:sz w:val="20"/>
              </w:rPr>
              <w:t>BF2</w:t>
            </w:r>
          </w:p>
        </w:tc>
        <w:tc>
          <w:tcPr>
            <w:tcW w:w="1248" w:type="dxa"/>
          </w:tcPr>
          <w:p w:rsidR="001B46BD" w:rsidRDefault="00575911">
            <w:pPr>
              <w:jc w:val="center"/>
              <w:rPr>
                <w:snapToGrid w:val="0"/>
                <w:sz w:val="20"/>
              </w:rPr>
            </w:pPr>
            <w:r>
              <w:rPr>
                <w:snapToGrid w:val="0"/>
                <w:sz w:val="20"/>
              </w:rPr>
              <w:t>1-5</w:t>
            </w:r>
          </w:p>
        </w:tc>
        <w:tc>
          <w:tcPr>
            <w:tcW w:w="1024" w:type="dxa"/>
          </w:tcPr>
          <w:p w:rsidR="001B46BD" w:rsidRDefault="00575911">
            <w:pPr>
              <w:jc w:val="center"/>
              <w:rPr>
                <w:snapToGrid w:val="0"/>
                <w:sz w:val="20"/>
              </w:rPr>
            </w:pPr>
            <w:r>
              <w:rPr>
                <w:snapToGrid w:val="0"/>
                <w:sz w:val="20"/>
              </w:rPr>
              <w:t>235.2</w:t>
            </w:r>
          </w:p>
        </w:tc>
        <w:tc>
          <w:tcPr>
            <w:tcW w:w="1216" w:type="dxa"/>
          </w:tcPr>
          <w:p w:rsidR="001B46BD" w:rsidRDefault="00575911">
            <w:pPr>
              <w:jc w:val="center"/>
              <w:rPr>
                <w:snapToGrid w:val="0"/>
                <w:sz w:val="20"/>
              </w:rPr>
            </w:pPr>
            <w:r>
              <w:rPr>
                <w:snapToGrid w:val="0"/>
                <w:sz w:val="20"/>
              </w:rPr>
              <w:t>SRX</w:t>
            </w:r>
          </w:p>
        </w:tc>
        <w:tc>
          <w:tcPr>
            <w:tcW w:w="4958" w:type="dxa"/>
          </w:tcPr>
          <w:p w:rsidR="001B46BD" w:rsidRDefault="00575911">
            <w:pPr>
              <w:rPr>
                <w:snapToGrid w:val="0"/>
                <w:sz w:val="20"/>
              </w:rPr>
            </w:pPr>
            <w:r>
              <w:rPr>
                <w:snapToGrid w:val="0"/>
                <w:sz w:val="20"/>
              </w:rPr>
              <w:t>Bonneville Spillway Forebay</w:t>
            </w:r>
          </w:p>
        </w:tc>
      </w:tr>
      <w:tr w:rsidR="001B46BD">
        <w:trPr>
          <w:trHeight w:val="256"/>
        </w:trPr>
        <w:tc>
          <w:tcPr>
            <w:tcW w:w="994" w:type="dxa"/>
          </w:tcPr>
          <w:p w:rsidR="001B46BD" w:rsidRDefault="00575911">
            <w:pPr>
              <w:jc w:val="center"/>
              <w:rPr>
                <w:snapToGrid w:val="0"/>
                <w:sz w:val="20"/>
              </w:rPr>
            </w:pPr>
            <w:r>
              <w:rPr>
                <w:snapToGrid w:val="0"/>
                <w:sz w:val="20"/>
              </w:rPr>
              <w:t>BF3</w:t>
            </w:r>
          </w:p>
        </w:tc>
        <w:tc>
          <w:tcPr>
            <w:tcW w:w="1248" w:type="dxa"/>
          </w:tcPr>
          <w:p w:rsidR="001B46BD" w:rsidRDefault="00575911">
            <w:pPr>
              <w:jc w:val="center"/>
              <w:rPr>
                <w:snapToGrid w:val="0"/>
                <w:sz w:val="20"/>
              </w:rPr>
            </w:pPr>
            <w:r>
              <w:rPr>
                <w:snapToGrid w:val="0"/>
                <w:sz w:val="20"/>
              </w:rPr>
              <w:t>1-4</w:t>
            </w:r>
          </w:p>
        </w:tc>
        <w:tc>
          <w:tcPr>
            <w:tcW w:w="1024" w:type="dxa"/>
          </w:tcPr>
          <w:p w:rsidR="001B46BD" w:rsidRDefault="00575911">
            <w:pPr>
              <w:jc w:val="center"/>
              <w:rPr>
                <w:snapToGrid w:val="0"/>
                <w:sz w:val="20"/>
              </w:rPr>
            </w:pPr>
            <w:r>
              <w:rPr>
                <w:snapToGrid w:val="0"/>
                <w:sz w:val="20"/>
              </w:rPr>
              <w:t>235.2</w:t>
            </w:r>
          </w:p>
        </w:tc>
        <w:tc>
          <w:tcPr>
            <w:tcW w:w="1216" w:type="dxa"/>
          </w:tcPr>
          <w:p w:rsidR="001B46BD" w:rsidRDefault="00575911">
            <w:pPr>
              <w:jc w:val="center"/>
              <w:rPr>
                <w:snapToGrid w:val="0"/>
                <w:sz w:val="20"/>
              </w:rPr>
            </w:pPr>
            <w:r>
              <w:rPr>
                <w:snapToGrid w:val="0"/>
                <w:sz w:val="20"/>
              </w:rPr>
              <w:t>SRX</w:t>
            </w:r>
          </w:p>
        </w:tc>
        <w:tc>
          <w:tcPr>
            <w:tcW w:w="4958" w:type="dxa"/>
          </w:tcPr>
          <w:p w:rsidR="001B46BD" w:rsidRDefault="00575911">
            <w:pPr>
              <w:rPr>
                <w:snapToGrid w:val="0"/>
                <w:sz w:val="20"/>
              </w:rPr>
            </w:pPr>
            <w:r>
              <w:rPr>
                <w:snapToGrid w:val="0"/>
                <w:sz w:val="20"/>
              </w:rPr>
              <w:t>Bonneville Spillway Forebay</w:t>
            </w:r>
          </w:p>
        </w:tc>
      </w:tr>
      <w:tr w:rsidR="001B46BD">
        <w:trPr>
          <w:trHeight w:val="256"/>
        </w:trPr>
        <w:tc>
          <w:tcPr>
            <w:tcW w:w="994" w:type="dxa"/>
          </w:tcPr>
          <w:p w:rsidR="001B46BD" w:rsidRDefault="00575911">
            <w:pPr>
              <w:jc w:val="center"/>
              <w:rPr>
                <w:snapToGrid w:val="0"/>
                <w:sz w:val="20"/>
              </w:rPr>
            </w:pPr>
            <w:r>
              <w:rPr>
                <w:snapToGrid w:val="0"/>
                <w:sz w:val="20"/>
              </w:rPr>
              <w:t>FTR</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235.3</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Washington shore, Ft Rains</w:t>
            </w:r>
          </w:p>
        </w:tc>
      </w:tr>
      <w:tr w:rsidR="001B46BD">
        <w:trPr>
          <w:trHeight w:val="256"/>
        </w:trPr>
        <w:tc>
          <w:tcPr>
            <w:tcW w:w="994" w:type="dxa"/>
          </w:tcPr>
          <w:p w:rsidR="001B46BD" w:rsidRDefault="00575911">
            <w:pPr>
              <w:jc w:val="center"/>
              <w:rPr>
                <w:snapToGrid w:val="0"/>
                <w:sz w:val="20"/>
              </w:rPr>
            </w:pPr>
            <w:r>
              <w:rPr>
                <w:snapToGrid w:val="0"/>
                <w:sz w:val="20"/>
              </w:rPr>
              <w:t>BOG</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238.6</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Bridge of the Gods, at Cascade Locks</w:t>
            </w:r>
          </w:p>
        </w:tc>
      </w:tr>
      <w:tr w:rsidR="001B46BD">
        <w:trPr>
          <w:trHeight w:val="256"/>
        </w:trPr>
        <w:tc>
          <w:tcPr>
            <w:tcW w:w="994" w:type="dxa"/>
          </w:tcPr>
          <w:p w:rsidR="001B46BD" w:rsidRDefault="00575911">
            <w:pPr>
              <w:jc w:val="center"/>
              <w:rPr>
                <w:snapToGrid w:val="0"/>
                <w:sz w:val="20"/>
              </w:rPr>
            </w:pPr>
            <w:r>
              <w:rPr>
                <w:snapToGrid w:val="0"/>
                <w:sz w:val="20"/>
              </w:rPr>
              <w:t>WIN</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249.2</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Wind River, Wind River boat launch</w:t>
            </w:r>
          </w:p>
        </w:tc>
      </w:tr>
      <w:tr w:rsidR="001B46BD">
        <w:trPr>
          <w:trHeight w:val="256"/>
        </w:trPr>
        <w:tc>
          <w:tcPr>
            <w:tcW w:w="994" w:type="dxa"/>
          </w:tcPr>
          <w:p w:rsidR="001B46BD" w:rsidRDefault="00575911">
            <w:pPr>
              <w:jc w:val="center"/>
              <w:rPr>
                <w:snapToGrid w:val="0"/>
                <w:sz w:val="20"/>
              </w:rPr>
            </w:pPr>
            <w:r>
              <w:rPr>
                <w:snapToGrid w:val="0"/>
                <w:sz w:val="20"/>
              </w:rPr>
              <w:t>UPA</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246.6</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Oregon shore, across from Depot Road</w:t>
            </w:r>
          </w:p>
        </w:tc>
      </w:tr>
      <w:tr w:rsidR="001B46BD">
        <w:trPr>
          <w:trHeight w:val="256"/>
        </w:trPr>
        <w:tc>
          <w:tcPr>
            <w:tcW w:w="994" w:type="dxa"/>
          </w:tcPr>
          <w:p w:rsidR="001B46BD" w:rsidRDefault="00575911">
            <w:pPr>
              <w:jc w:val="center"/>
              <w:rPr>
                <w:snapToGrid w:val="0"/>
                <w:sz w:val="20"/>
              </w:rPr>
            </w:pPr>
            <w:r>
              <w:rPr>
                <w:snapToGrid w:val="0"/>
                <w:sz w:val="20"/>
              </w:rPr>
              <w:t>DPR</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246.6</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Washington shore, Depot Road, downstream from Wind River</w:t>
            </w:r>
          </w:p>
        </w:tc>
      </w:tr>
      <w:tr w:rsidR="001B46BD">
        <w:trPr>
          <w:trHeight w:val="256"/>
        </w:trPr>
        <w:tc>
          <w:tcPr>
            <w:tcW w:w="994" w:type="dxa"/>
          </w:tcPr>
          <w:p w:rsidR="001B46BD" w:rsidRDefault="00575911">
            <w:pPr>
              <w:jc w:val="center"/>
              <w:rPr>
                <w:snapToGrid w:val="0"/>
                <w:sz w:val="20"/>
              </w:rPr>
            </w:pPr>
            <w:r>
              <w:rPr>
                <w:snapToGrid w:val="0"/>
                <w:sz w:val="20"/>
              </w:rPr>
              <w:t>LWD</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260.1</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Washington shore, downstream from Little White Salmon River</w:t>
            </w:r>
          </w:p>
        </w:tc>
      </w:tr>
      <w:tr w:rsidR="001B46BD">
        <w:trPr>
          <w:trHeight w:val="256"/>
        </w:trPr>
        <w:tc>
          <w:tcPr>
            <w:tcW w:w="994" w:type="dxa"/>
          </w:tcPr>
          <w:p w:rsidR="001B46BD" w:rsidRDefault="00575911">
            <w:pPr>
              <w:jc w:val="center"/>
              <w:rPr>
                <w:snapToGrid w:val="0"/>
                <w:sz w:val="20"/>
              </w:rPr>
            </w:pPr>
            <w:r>
              <w:rPr>
                <w:snapToGrid w:val="0"/>
                <w:sz w:val="20"/>
              </w:rPr>
              <w:t>LWS</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261</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Little White Salmon, inside at mouth of Drano Lake</w:t>
            </w:r>
          </w:p>
        </w:tc>
      </w:tr>
      <w:tr w:rsidR="001B46BD">
        <w:trPr>
          <w:trHeight w:val="256"/>
        </w:trPr>
        <w:tc>
          <w:tcPr>
            <w:tcW w:w="994" w:type="dxa"/>
          </w:tcPr>
          <w:p w:rsidR="001B46BD" w:rsidRDefault="00575911">
            <w:pPr>
              <w:jc w:val="center"/>
              <w:rPr>
                <w:snapToGrid w:val="0"/>
                <w:sz w:val="20"/>
              </w:rPr>
            </w:pPr>
            <w:r>
              <w:rPr>
                <w:snapToGrid w:val="0"/>
                <w:sz w:val="20"/>
              </w:rPr>
              <w:t>LWU</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261.3</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Washington shore upstream from Little White Salmon River</w:t>
            </w:r>
          </w:p>
        </w:tc>
      </w:tr>
      <w:tr w:rsidR="001B46BD">
        <w:trPr>
          <w:trHeight w:val="256"/>
        </w:trPr>
        <w:tc>
          <w:tcPr>
            <w:tcW w:w="994" w:type="dxa"/>
          </w:tcPr>
          <w:p w:rsidR="001B46BD" w:rsidRDefault="00575911">
            <w:pPr>
              <w:jc w:val="center"/>
              <w:rPr>
                <w:snapToGrid w:val="0"/>
                <w:sz w:val="20"/>
              </w:rPr>
            </w:pPr>
            <w:r>
              <w:rPr>
                <w:snapToGrid w:val="0"/>
                <w:sz w:val="20"/>
              </w:rPr>
              <w:t>WHD</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270.3</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Washington shore, downstream from White Salmon River</w:t>
            </w:r>
          </w:p>
        </w:tc>
      </w:tr>
      <w:tr w:rsidR="001B46BD">
        <w:trPr>
          <w:trHeight w:val="256"/>
        </w:trPr>
        <w:tc>
          <w:tcPr>
            <w:tcW w:w="994" w:type="dxa"/>
          </w:tcPr>
          <w:p w:rsidR="001B46BD" w:rsidRDefault="00575911">
            <w:pPr>
              <w:jc w:val="center"/>
              <w:rPr>
                <w:snapToGrid w:val="0"/>
                <w:sz w:val="20"/>
              </w:rPr>
            </w:pPr>
            <w:r>
              <w:rPr>
                <w:snapToGrid w:val="0"/>
                <w:sz w:val="20"/>
              </w:rPr>
              <w:t>WHR</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270.9</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White Salmon River, landing at mouth</w:t>
            </w:r>
          </w:p>
        </w:tc>
      </w:tr>
      <w:tr w:rsidR="001B46BD">
        <w:trPr>
          <w:trHeight w:val="256"/>
        </w:trPr>
        <w:tc>
          <w:tcPr>
            <w:tcW w:w="994" w:type="dxa"/>
          </w:tcPr>
          <w:p w:rsidR="001B46BD" w:rsidRDefault="00575911">
            <w:pPr>
              <w:jc w:val="center"/>
              <w:rPr>
                <w:snapToGrid w:val="0"/>
                <w:sz w:val="20"/>
              </w:rPr>
            </w:pPr>
            <w:r>
              <w:rPr>
                <w:snapToGrid w:val="0"/>
                <w:sz w:val="20"/>
              </w:rPr>
              <w:t>WSU</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272.5</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White Salmon River, upstream from WHR</w:t>
            </w:r>
          </w:p>
        </w:tc>
      </w:tr>
      <w:tr w:rsidR="001B46BD">
        <w:trPr>
          <w:trHeight w:val="256"/>
        </w:trPr>
        <w:tc>
          <w:tcPr>
            <w:tcW w:w="994" w:type="dxa"/>
          </w:tcPr>
          <w:p w:rsidR="001B46BD" w:rsidRDefault="00575911">
            <w:pPr>
              <w:jc w:val="center"/>
              <w:rPr>
                <w:snapToGrid w:val="0"/>
                <w:sz w:val="20"/>
              </w:rPr>
            </w:pPr>
            <w:r>
              <w:rPr>
                <w:snapToGrid w:val="0"/>
                <w:sz w:val="20"/>
              </w:rPr>
              <w:t>HDR</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272.6</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Hood River</w:t>
            </w:r>
          </w:p>
        </w:tc>
      </w:tr>
      <w:tr w:rsidR="001B46BD">
        <w:trPr>
          <w:trHeight w:val="256"/>
        </w:trPr>
        <w:tc>
          <w:tcPr>
            <w:tcW w:w="994" w:type="dxa"/>
          </w:tcPr>
          <w:p w:rsidR="001B46BD" w:rsidRDefault="00575911">
            <w:pPr>
              <w:jc w:val="center"/>
              <w:rPr>
                <w:snapToGrid w:val="0"/>
                <w:sz w:val="20"/>
              </w:rPr>
            </w:pPr>
            <w:r>
              <w:rPr>
                <w:snapToGrid w:val="0"/>
                <w:sz w:val="20"/>
              </w:rPr>
              <w:t>BMA</w:t>
            </w:r>
          </w:p>
        </w:tc>
        <w:tc>
          <w:tcPr>
            <w:tcW w:w="1248" w:type="dxa"/>
          </w:tcPr>
          <w:p w:rsidR="001B46BD" w:rsidRDefault="00575911">
            <w:pPr>
              <w:jc w:val="center"/>
              <w:rPr>
                <w:snapToGrid w:val="0"/>
                <w:sz w:val="20"/>
              </w:rPr>
            </w:pPr>
            <w:r>
              <w:rPr>
                <w:snapToGrid w:val="0"/>
                <w:sz w:val="20"/>
              </w:rPr>
              <w:t>1</w:t>
            </w:r>
          </w:p>
        </w:tc>
        <w:tc>
          <w:tcPr>
            <w:tcW w:w="1024" w:type="dxa"/>
          </w:tcPr>
          <w:p w:rsidR="001B46BD" w:rsidRDefault="00575911">
            <w:pPr>
              <w:jc w:val="center"/>
              <w:rPr>
                <w:snapToGrid w:val="0"/>
                <w:sz w:val="20"/>
              </w:rPr>
            </w:pPr>
            <w:r>
              <w:rPr>
                <w:snapToGrid w:val="0"/>
                <w:sz w:val="20"/>
              </w:rPr>
              <w:t>276.4</w:t>
            </w:r>
          </w:p>
        </w:tc>
        <w:tc>
          <w:tcPr>
            <w:tcW w:w="1216" w:type="dxa"/>
          </w:tcPr>
          <w:p w:rsidR="001B46BD" w:rsidRDefault="00575911">
            <w:pPr>
              <w:jc w:val="center"/>
              <w:rPr>
                <w:snapToGrid w:val="0"/>
                <w:sz w:val="20"/>
              </w:rPr>
            </w:pPr>
            <w:r>
              <w:rPr>
                <w:snapToGrid w:val="0"/>
                <w:sz w:val="20"/>
              </w:rPr>
              <w:t>DSP</w:t>
            </w:r>
          </w:p>
        </w:tc>
        <w:tc>
          <w:tcPr>
            <w:tcW w:w="4958" w:type="dxa"/>
          </w:tcPr>
          <w:p w:rsidR="001B46BD" w:rsidRDefault="00575911">
            <w:pPr>
              <w:rPr>
                <w:snapToGrid w:val="0"/>
                <w:sz w:val="20"/>
              </w:rPr>
            </w:pPr>
            <w:r>
              <w:rPr>
                <w:snapToGrid w:val="0"/>
                <w:sz w:val="20"/>
              </w:rPr>
              <w:t>Washington shore, Bingen Marina</w:t>
            </w:r>
          </w:p>
        </w:tc>
      </w:tr>
    </w:tbl>
    <w:p w:rsidR="001B46BD" w:rsidRDefault="001B46BD">
      <w:pPr>
        <w:rPr>
          <w:sz w:val="20"/>
        </w:rPr>
      </w:pPr>
    </w:p>
    <w:p w:rsidR="001B46BD" w:rsidRDefault="001B46BD">
      <w:pPr>
        <w:rPr>
          <w:sz w:val="20"/>
        </w:rPr>
      </w:pPr>
    </w:p>
    <w:p w:rsidR="001B46BD" w:rsidRDefault="00575911">
      <w:pPr>
        <w:rPr>
          <w:sz w:val="20"/>
        </w:rPr>
      </w:pPr>
      <w:r>
        <w:rPr>
          <w:sz w:val="20"/>
        </w:rPr>
        <w:t>U.S. Geological Survey fixed stations.</w:t>
      </w:r>
    </w:p>
    <w:p w:rsidR="001B46BD" w:rsidRDefault="001B46BD">
      <w:pPr>
        <w:rPr>
          <w:sz w:val="20"/>
        </w:rPr>
      </w:pPr>
    </w:p>
    <w:tbl>
      <w:tblPr>
        <w:tblW w:w="0" w:type="auto"/>
        <w:tblInd w:w="30" w:type="dxa"/>
        <w:tblLayout w:type="fixed"/>
        <w:tblCellMar>
          <w:left w:w="30" w:type="dxa"/>
          <w:right w:w="30" w:type="dxa"/>
        </w:tblCellMar>
        <w:tblLook w:val="0000"/>
      </w:tblPr>
      <w:tblGrid>
        <w:gridCol w:w="1410"/>
        <w:gridCol w:w="1200"/>
        <w:gridCol w:w="1350"/>
        <w:gridCol w:w="1170"/>
        <w:gridCol w:w="4200"/>
      </w:tblGrid>
      <w:tr w:rsidR="001B46BD">
        <w:trPr>
          <w:trHeight w:val="316"/>
        </w:trPr>
        <w:tc>
          <w:tcPr>
            <w:tcW w:w="1410" w:type="dxa"/>
            <w:vAlign w:val="center"/>
          </w:tcPr>
          <w:p w:rsidR="001B46BD" w:rsidRDefault="00575911">
            <w:pPr>
              <w:pStyle w:val="Subtitle"/>
            </w:pPr>
            <w:r>
              <w:t>Area</w:t>
            </w:r>
          </w:p>
        </w:tc>
        <w:tc>
          <w:tcPr>
            <w:tcW w:w="1200" w:type="dxa"/>
            <w:vAlign w:val="center"/>
          </w:tcPr>
          <w:p w:rsidR="001B46BD" w:rsidRDefault="00575911">
            <w:pPr>
              <w:jc w:val="center"/>
              <w:rPr>
                <w:b/>
                <w:snapToGrid w:val="0"/>
                <w:sz w:val="20"/>
                <w:u w:val="single"/>
              </w:rPr>
            </w:pPr>
            <w:r>
              <w:rPr>
                <w:b/>
                <w:snapToGrid w:val="0"/>
                <w:sz w:val="20"/>
                <w:u w:val="single"/>
              </w:rPr>
              <w:t>Receiver</w:t>
            </w:r>
          </w:p>
        </w:tc>
        <w:tc>
          <w:tcPr>
            <w:tcW w:w="1350" w:type="dxa"/>
            <w:vAlign w:val="center"/>
          </w:tcPr>
          <w:p w:rsidR="001B46BD" w:rsidRDefault="00575911">
            <w:pPr>
              <w:jc w:val="center"/>
              <w:rPr>
                <w:b/>
                <w:snapToGrid w:val="0"/>
                <w:sz w:val="20"/>
                <w:u w:val="single"/>
              </w:rPr>
            </w:pPr>
            <w:r>
              <w:rPr>
                <w:b/>
                <w:snapToGrid w:val="0"/>
                <w:sz w:val="20"/>
                <w:u w:val="single"/>
              </w:rPr>
              <w:t>Antenna</w:t>
            </w:r>
          </w:p>
        </w:tc>
        <w:tc>
          <w:tcPr>
            <w:tcW w:w="1170" w:type="dxa"/>
            <w:vAlign w:val="center"/>
          </w:tcPr>
          <w:p w:rsidR="001B46BD" w:rsidRDefault="00575911">
            <w:pPr>
              <w:jc w:val="center"/>
              <w:rPr>
                <w:b/>
                <w:snapToGrid w:val="0"/>
                <w:sz w:val="20"/>
                <w:u w:val="single"/>
              </w:rPr>
            </w:pPr>
            <w:r>
              <w:rPr>
                <w:b/>
                <w:snapToGrid w:val="0"/>
                <w:sz w:val="20"/>
                <w:u w:val="single"/>
              </w:rPr>
              <w:t>Type</w:t>
            </w:r>
          </w:p>
        </w:tc>
        <w:tc>
          <w:tcPr>
            <w:tcW w:w="4200" w:type="dxa"/>
            <w:vAlign w:val="center"/>
          </w:tcPr>
          <w:p w:rsidR="001B46BD" w:rsidRDefault="00575911">
            <w:pPr>
              <w:jc w:val="center"/>
              <w:rPr>
                <w:b/>
                <w:snapToGrid w:val="0"/>
                <w:sz w:val="20"/>
                <w:u w:val="single"/>
              </w:rPr>
            </w:pPr>
            <w:r>
              <w:rPr>
                <w:b/>
                <w:snapToGrid w:val="0"/>
                <w:sz w:val="20"/>
                <w:u w:val="single"/>
              </w:rPr>
              <w:t>Antenna Coverage</w:t>
            </w:r>
          </w:p>
        </w:tc>
      </w:tr>
      <w:tr w:rsidR="001B46BD">
        <w:trPr>
          <w:cantSplit/>
          <w:trHeight w:val="316"/>
        </w:trPr>
        <w:tc>
          <w:tcPr>
            <w:tcW w:w="2610" w:type="dxa"/>
            <w:gridSpan w:val="2"/>
            <w:vAlign w:val="center"/>
          </w:tcPr>
          <w:p w:rsidR="001B46BD" w:rsidRDefault="00575911">
            <w:pPr>
              <w:pStyle w:val="Heading2"/>
              <w:rPr>
                <w:sz w:val="20"/>
              </w:rPr>
            </w:pPr>
            <w:r>
              <w:rPr>
                <w:sz w:val="20"/>
              </w:rPr>
              <w:t>Forebay Aerial Antennas</w:t>
            </w:r>
          </w:p>
        </w:tc>
        <w:tc>
          <w:tcPr>
            <w:tcW w:w="1350" w:type="dxa"/>
            <w:vAlign w:val="center"/>
          </w:tcPr>
          <w:p w:rsidR="001B46BD" w:rsidRDefault="001B46BD">
            <w:pPr>
              <w:jc w:val="center"/>
              <w:rPr>
                <w:snapToGrid w:val="0"/>
                <w:sz w:val="20"/>
              </w:rPr>
            </w:pPr>
          </w:p>
        </w:tc>
        <w:tc>
          <w:tcPr>
            <w:tcW w:w="1170" w:type="dxa"/>
            <w:vAlign w:val="center"/>
          </w:tcPr>
          <w:p w:rsidR="001B46BD" w:rsidRDefault="001B46BD">
            <w:pPr>
              <w:jc w:val="center"/>
              <w:rPr>
                <w:snapToGrid w:val="0"/>
                <w:sz w:val="20"/>
              </w:rPr>
            </w:pPr>
          </w:p>
        </w:tc>
        <w:tc>
          <w:tcPr>
            <w:tcW w:w="4200" w:type="dxa"/>
            <w:vAlign w:val="center"/>
          </w:tcPr>
          <w:p w:rsidR="001B46BD" w:rsidRDefault="001B46BD">
            <w:pPr>
              <w:jc w:val="right"/>
              <w:rPr>
                <w:snapToGrid w:val="0"/>
                <w:sz w:val="20"/>
              </w:rPr>
            </w:pPr>
          </w:p>
        </w:tc>
      </w:tr>
      <w:tr w:rsidR="001B46BD">
        <w:trPr>
          <w:trHeight w:val="316"/>
        </w:trPr>
        <w:tc>
          <w:tcPr>
            <w:tcW w:w="1410" w:type="dxa"/>
            <w:vAlign w:val="center"/>
          </w:tcPr>
          <w:p w:rsidR="001B46BD" w:rsidRDefault="00575911">
            <w:pPr>
              <w:jc w:val="center"/>
              <w:rPr>
                <w:snapToGrid w:val="0"/>
                <w:sz w:val="20"/>
              </w:rPr>
            </w:pPr>
            <w:r>
              <w:rPr>
                <w:snapToGrid w:val="0"/>
                <w:sz w:val="20"/>
              </w:rPr>
              <w:t>Entrance Stations</w:t>
            </w:r>
          </w:p>
        </w:tc>
        <w:tc>
          <w:tcPr>
            <w:tcW w:w="1200" w:type="dxa"/>
            <w:vAlign w:val="center"/>
          </w:tcPr>
          <w:p w:rsidR="001B46BD" w:rsidRDefault="00575911">
            <w:pPr>
              <w:jc w:val="center"/>
              <w:rPr>
                <w:b/>
                <w:snapToGrid w:val="0"/>
                <w:sz w:val="20"/>
              </w:rPr>
            </w:pPr>
            <w:r>
              <w:rPr>
                <w:b/>
                <w:snapToGrid w:val="0"/>
                <w:sz w:val="20"/>
              </w:rPr>
              <w:t>L01</w:t>
            </w: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Tip of Cascade Island Pointing Upstream</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Tip of Cascade Island Pointing Across to Spillway / PH1 Entrance Channels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L03</w:t>
            </w:r>
          </w:p>
        </w:tc>
        <w:tc>
          <w:tcPr>
            <w:tcW w:w="1350" w:type="dxa"/>
            <w:vAlign w:val="center"/>
          </w:tcPr>
          <w:p w:rsidR="001B46BD" w:rsidRDefault="00575911">
            <w:pPr>
              <w:jc w:val="center"/>
              <w:rPr>
                <w:snapToGrid w:val="0"/>
                <w:sz w:val="20"/>
              </w:rPr>
            </w:pPr>
            <w:r>
              <w:rPr>
                <w:snapToGrid w:val="0"/>
                <w:sz w:val="20"/>
              </w:rPr>
              <w:t>1 (3 COMB)</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Powerhouse 1 Channel</w:t>
            </w:r>
          </w:p>
        </w:tc>
      </w:tr>
      <w:tr w:rsidR="001B46BD">
        <w:trPr>
          <w:trHeight w:val="316"/>
        </w:trPr>
        <w:tc>
          <w:tcPr>
            <w:tcW w:w="1410" w:type="dxa"/>
            <w:vAlign w:val="center"/>
          </w:tcPr>
          <w:p w:rsidR="001B46BD" w:rsidRDefault="00575911">
            <w:pPr>
              <w:jc w:val="center"/>
              <w:rPr>
                <w:snapToGrid w:val="0"/>
                <w:sz w:val="20"/>
              </w:rPr>
            </w:pPr>
            <w:r>
              <w:rPr>
                <w:snapToGrid w:val="0"/>
                <w:sz w:val="20"/>
              </w:rPr>
              <w:t>Powerhouse II</w:t>
            </w:r>
          </w:p>
        </w:tc>
        <w:tc>
          <w:tcPr>
            <w:tcW w:w="1200" w:type="dxa"/>
            <w:vAlign w:val="center"/>
          </w:tcPr>
          <w:p w:rsidR="001B46BD" w:rsidRDefault="00575911">
            <w:pPr>
              <w:jc w:val="center"/>
              <w:rPr>
                <w:b/>
                <w:snapToGrid w:val="0"/>
                <w:sz w:val="20"/>
              </w:rPr>
            </w:pPr>
            <w:r>
              <w:rPr>
                <w:b/>
                <w:snapToGrid w:val="0"/>
                <w:sz w:val="20"/>
              </w:rPr>
              <w:t>M01</w:t>
            </w: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Fish Unit / North Eddy</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18</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17</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16</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5</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15</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6</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14</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M03</w:t>
            </w: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13</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12</w:t>
            </w:r>
          </w:p>
        </w:tc>
      </w:tr>
      <w:tr w:rsidR="001B46BD">
        <w:trPr>
          <w:trHeight w:val="316"/>
        </w:trPr>
        <w:tc>
          <w:tcPr>
            <w:tcW w:w="1410" w:type="dxa"/>
            <w:vAlign w:val="center"/>
          </w:tcPr>
          <w:p w:rsidR="001B46BD" w:rsidRDefault="00575911">
            <w:pPr>
              <w:pStyle w:val="Subtitle"/>
            </w:pPr>
            <w:r>
              <w:lastRenderedPageBreak/>
              <w:t>Area</w:t>
            </w:r>
          </w:p>
        </w:tc>
        <w:tc>
          <w:tcPr>
            <w:tcW w:w="1200" w:type="dxa"/>
            <w:vAlign w:val="center"/>
          </w:tcPr>
          <w:p w:rsidR="001B46BD" w:rsidRDefault="00575911">
            <w:pPr>
              <w:jc w:val="center"/>
              <w:rPr>
                <w:b/>
                <w:snapToGrid w:val="0"/>
                <w:sz w:val="20"/>
                <w:u w:val="single"/>
              </w:rPr>
            </w:pPr>
            <w:r>
              <w:rPr>
                <w:b/>
                <w:snapToGrid w:val="0"/>
                <w:sz w:val="20"/>
                <w:u w:val="single"/>
              </w:rPr>
              <w:t>Receiver</w:t>
            </w:r>
          </w:p>
        </w:tc>
        <w:tc>
          <w:tcPr>
            <w:tcW w:w="1350" w:type="dxa"/>
            <w:vAlign w:val="center"/>
          </w:tcPr>
          <w:p w:rsidR="001B46BD" w:rsidRDefault="00575911">
            <w:pPr>
              <w:jc w:val="center"/>
              <w:rPr>
                <w:b/>
                <w:snapToGrid w:val="0"/>
                <w:sz w:val="20"/>
                <w:u w:val="single"/>
              </w:rPr>
            </w:pPr>
            <w:r>
              <w:rPr>
                <w:b/>
                <w:snapToGrid w:val="0"/>
                <w:sz w:val="20"/>
                <w:u w:val="single"/>
              </w:rPr>
              <w:t>Antenna</w:t>
            </w:r>
          </w:p>
        </w:tc>
        <w:tc>
          <w:tcPr>
            <w:tcW w:w="1170" w:type="dxa"/>
            <w:vAlign w:val="center"/>
          </w:tcPr>
          <w:p w:rsidR="001B46BD" w:rsidRDefault="00575911">
            <w:pPr>
              <w:jc w:val="center"/>
              <w:rPr>
                <w:b/>
                <w:snapToGrid w:val="0"/>
                <w:sz w:val="20"/>
                <w:u w:val="single"/>
              </w:rPr>
            </w:pPr>
            <w:r>
              <w:rPr>
                <w:b/>
                <w:snapToGrid w:val="0"/>
                <w:sz w:val="20"/>
                <w:u w:val="single"/>
              </w:rPr>
              <w:t>Type</w:t>
            </w:r>
          </w:p>
        </w:tc>
        <w:tc>
          <w:tcPr>
            <w:tcW w:w="4200" w:type="dxa"/>
            <w:vAlign w:val="center"/>
          </w:tcPr>
          <w:p w:rsidR="001B46BD" w:rsidRDefault="00575911">
            <w:pPr>
              <w:jc w:val="center"/>
              <w:rPr>
                <w:b/>
                <w:snapToGrid w:val="0"/>
                <w:sz w:val="20"/>
                <w:u w:val="single"/>
              </w:rPr>
            </w:pPr>
            <w:r>
              <w:rPr>
                <w:b/>
                <w:snapToGrid w:val="0"/>
                <w:sz w:val="20"/>
                <w:u w:val="single"/>
              </w:rPr>
              <w:t>Antenna Coverage</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11</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Sluiceway Opening / South Eddy</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5</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South Eddy</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6</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South Eddy</w:t>
            </w:r>
          </w:p>
        </w:tc>
      </w:tr>
      <w:tr w:rsidR="001B46BD">
        <w:trPr>
          <w:trHeight w:val="316"/>
        </w:trPr>
        <w:tc>
          <w:tcPr>
            <w:tcW w:w="1410" w:type="dxa"/>
            <w:vAlign w:val="center"/>
          </w:tcPr>
          <w:p w:rsidR="001B46BD" w:rsidRDefault="00575911">
            <w:pPr>
              <w:jc w:val="center"/>
              <w:rPr>
                <w:snapToGrid w:val="0"/>
                <w:sz w:val="20"/>
              </w:rPr>
            </w:pPr>
            <w:r>
              <w:rPr>
                <w:snapToGrid w:val="0"/>
                <w:sz w:val="20"/>
              </w:rPr>
              <w:t>Spillway</w:t>
            </w:r>
          </w:p>
        </w:tc>
        <w:tc>
          <w:tcPr>
            <w:tcW w:w="1200" w:type="dxa"/>
            <w:vAlign w:val="center"/>
          </w:tcPr>
          <w:p w:rsidR="001B46BD" w:rsidRDefault="00575911">
            <w:pPr>
              <w:jc w:val="center"/>
              <w:rPr>
                <w:b/>
                <w:snapToGrid w:val="0"/>
                <w:sz w:val="20"/>
              </w:rPr>
            </w:pPr>
            <w:r>
              <w:rPr>
                <w:b/>
                <w:snapToGrid w:val="0"/>
                <w:sz w:val="20"/>
              </w:rPr>
              <w:t>M05</w:t>
            </w:r>
          </w:p>
        </w:tc>
        <w:tc>
          <w:tcPr>
            <w:tcW w:w="1350" w:type="dxa"/>
            <w:vAlign w:val="center"/>
          </w:tcPr>
          <w:p w:rsidR="001B46BD" w:rsidRDefault="00575911">
            <w:pPr>
              <w:jc w:val="center"/>
              <w:rPr>
                <w:snapToGrid w:val="0"/>
                <w:sz w:val="20"/>
              </w:rPr>
            </w:pPr>
            <w:r>
              <w:rPr>
                <w:snapToGrid w:val="0"/>
                <w:sz w:val="20"/>
              </w:rPr>
              <w:t>1 (5 COMB)</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Spillbays 1-10 (North End of Spillway Forebay)</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M07</w:t>
            </w:r>
          </w:p>
        </w:tc>
        <w:tc>
          <w:tcPr>
            <w:tcW w:w="1350" w:type="dxa"/>
            <w:vAlign w:val="center"/>
          </w:tcPr>
          <w:p w:rsidR="001B46BD" w:rsidRDefault="00575911">
            <w:pPr>
              <w:jc w:val="center"/>
              <w:rPr>
                <w:snapToGrid w:val="0"/>
                <w:sz w:val="20"/>
              </w:rPr>
            </w:pPr>
            <w:r>
              <w:rPr>
                <w:snapToGrid w:val="0"/>
                <w:sz w:val="20"/>
              </w:rPr>
              <w:t>1 (4 COMB)</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Spillbays 11-18 (South End of Spillway Forebay)</w:t>
            </w:r>
          </w:p>
        </w:tc>
      </w:tr>
      <w:tr w:rsidR="001B46BD">
        <w:trPr>
          <w:trHeight w:val="316"/>
        </w:trPr>
        <w:tc>
          <w:tcPr>
            <w:tcW w:w="1410" w:type="dxa"/>
            <w:vAlign w:val="center"/>
          </w:tcPr>
          <w:p w:rsidR="001B46BD" w:rsidRDefault="00575911">
            <w:pPr>
              <w:jc w:val="center"/>
              <w:rPr>
                <w:snapToGrid w:val="0"/>
                <w:sz w:val="20"/>
              </w:rPr>
            </w:pPr>
            <w:r>
              <w:rPr>
                <w:snapToGrid w:val="0"/>
                <w:sz w:val="20"/>
              </w:rPr>
              <w:t>Powerhouse I</w:t>
            </w:r>
          </w:p>
        </w:tc>
        <w:tc>
          <w:tcPr>
            <w:tcW w:w="1200" w:type="dxa"/>
            <w:vAlign w:val="center"/>
          </w:tcPr>
          <w:p w:rsidR="001B46BD" w:rsidRDefault="00575911">
            <w:pPr>
              <w:jc w:val="center"/>
              <w:rPr>
                <w:b/>
                <w:snapToGrid w:val="0"/>
                <w:sz w:val="20"/>
              </w:rPr>
            </w:pPr>
            <w:r>
              <w:rPr>
                <w:b/>
                <w:snapToGrid w:val="0"/>
                <w:sz w:val="20"/>
              </w:rPr>
              <w:t>M09</w:t>
            </w:r>
          </w:p>
        </w:tc>
        <w:tc>
          <w:tcPr>
            <w:tcW w:w="1350" w:type="dxa"/>
            <w:vAlign w:val="center"/>
          </w:tcPr>
          <w:p w:rsidR="001B46BD" w:rsidRDefault="00575911">
            <w:pPr>
              <w:jc w:val="center"/>
              <w:rPr>
                <w:snapToGrid w:val="0"/>
                <w:sz w:val="20"/>
              </w:rPr>
            </w:pPr>
            <w:r>
              <w:rPr>
                <w:snapToGrid w:val="0"/>
                <w:sz w:val="20"/>
              </w:rPr>
              <w:t>4</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10</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9</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8</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7</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M11</w:t>
            </w:r>
          </w:p>
        </w:tc>
        <w:tc>
          <w:tcPr>
            <w:tcW w:w="1350" w:type="dxa"/>
            <w:vAlign w:val="center"/>
          </w:tcPr>
          <w:p w:rsidR="001B46BD" w:rsidRDefault="00575911">
            <w:pPr>
              <w:jc w:val="center"/>
              <w:rPr>
                <w:snapToGrid w:val="0"/>
                <w:sz w:val="20"/>
              </w:rPr>
            </w:pPr>
            <w:r>
              <w:rPr>
                <w:snapToGrid w:val="0"/>
                <w:sz w:val="20"/>
              </w:rPr>
              <w:t>6</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6 / Prototype Surface Collector</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5</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5 / Prototype Surface Collector</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4 / Prototype Surface Collector</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right"/>
              <w:rPr>
                <w:b/>
                <w:snapToGrid w:val="0"/>
                <w:sz w:val="20"/>
              </w:rPr>
            </w:pPr>
          </w:p>
        </w:tc>
        <w:tc>
          <w:tcPr>
            <w:tcW w:w="1350" w:type="dxa"/>
            <w:vAlign w:val="center"/>
          </w:tcPr>
          <w:p w:rsidR="001B46BD" w:rsidRDefault="00575911">
            <w:pPr>
              <w:jc w:val="center"/>
              <w:rPr>
                <w:snapToGrid w:val="0"/>
                <w:sz w:val="20"/>
              </w:rPr>
            </w:pPr>
            <w:r>
              <w:rPr>
                <w:snapToGrid w:val="0"/>
                <w:sz w:val="20"/>
              </w:rPr>
              <w:t>3</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3 / Prototype Surface Collector</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2 / Prototype Surface Collector</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Turbine  1 / Prototype Surface Collector</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M13</w:t>
            </w: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Old Navlock Peninsula - (upstream antenna)</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Old Navlock Peninsula (downstream antenna)</w:t>
            </w:r>
          </w:p>
        </w:tc>
      </w:tr>
      <w:tr w:rsidR="001B46BD">
        <w:trPr>
          <w:cantSplit/>
          <w:trHeight w:val="316"/>
        </w:trPr>
        <w:tc>
          <w:tcPr>
            <w:tcW w:w="3960" w:type="dxa"/>
            <w:gridSpan w:val="3"/>
            <w:vAlign w:val="center"/>
          </w:tcPr>
          <w:p w:rsidR="001B46BD" w:rsidRDefault="00575911">
            <w:pPr>
              <w:rPr>
                <w:snapToGrid w:val="0"/>
                <w:sz w:val="20"/>
              </w:rPr>
            </w:pPr>
            <w:r>
              <w:rPr>
                <w:b/>
                <w:snapToGrid w:val="0"/>
                <w:sz w:val="20"/>
              </w:rPr>
              <w:t>Forebay Underwater Antennas  (MITAS)</w:t>
            </w:r>
          </w:p>
        </w:tc>
        <w:tc>
          <w:tcPr>
            <w:tcW w:w="1170" w:type="dxa"/>
            <w:vAlign w:val="center"/>
          </w:tcPr>
          <w:p w:rsidR="001B46BD" w:rsidRDefault="001B46BD">
            <w:pPr>
              <w:jc w:val="right"/>
              <w:rPr>
                <w:snapToGrid w:val="0"/>
                <w:sz w:val="20"/>
              </w:rPr>
            </w:pPr>
          </w:p>
        </w:tc>
        <w:tc>
          <w:tcPr>
            <w:tcW w:w="4200" w:type="dxa"/>
            <w:vAlign w:val="center"/>
          </w:tcPr>
          <w:p w:rsidR="001B46BD" w:rsidRDefault="001B46BD">
            <w:pPr>
              <w:jc w:val="right"/>
              <w:rPr>
                <w:snapToGrid w:val="0"/>
                <w:sz w:val="20"/>
              </w:rPr>
            </w:pPr>
          </w:p>
        </w:tc>
      </w:tr>
      <w:tr w:rsidR="001B46BD">
        <w:trPr>
          <w:trHeight w:val="316"/>
        </w:trPr>
        <w:tc>
          <w:tcPr>
            <w:tcW w:w="1410" w:type="dxa"/>
            <w:vAlign w:val="center"/>
          </w:tcPr>
          <w:p w:rsidR="001B46BD" w:rsidRDefault="00575911">
            <w:pPr>
              <w:jc w:val="center"/>
              <w:rPr>
                <w:snapToGrid w:val="0"/>
                <w:sz w:val="20"/>
              </w:rPr>
            </w:pPr>
            <w:r>
              <w:rPr>
                <w:snapToGrid w:val="0"/>
                <w:sz w:val="20"/>
              </w:rPr>
              <w:t>Powerhouse I</w:t>
            </w:r>
          </w:p>
        </w:tc>
        <w:tc>
          <w:tcPr>
            <w:tcW w:w="1200" w:type="dxa"/>
            <w:vAlign w:val="center"/>
          </w:tcPr>
          <w:p w:rsidR="001B46BD" w:rsidRDefault="00575911">
            <w:pPr>
              <w:jc w:val="center"/>
              <w:rPr>
                <w:b/>
                <w:snapToGrid w:val="0"/>
                <w:sz w:val="20"/>
              </w:rPr>
            </w:pPr>
            <w:r>
              <w:rPr>
                <w:b/>
                <w:snapToGrid w:val="0"/>
                <w:sz w:val="20"/>
              </w:rPr>
              <w:t>N01</w:t>
            </w:r>
          </w:p>
        </w:tc>
        <w:tc>
          <w:tcPr>
            <w:tcW w:w="1350" w:type="dxa"/>
            <w:vAlign w:val="center"/>
          </w:tcPr>
          <w:p w:rsidR="001B46BD" w:rsidRDefault="00575911">
            <w:pPr>
              <w:jc w:val="center"/>
              <w:rPr>
                <w:snapToGrid w:val="0"/>
                <w:sz w:val="20"/>
              </w:rPr>
            </w:pPr>
            <w:r>
              <w:rPr>
                <w:snapToGrid w:val="0"/>
                <w:sz w:val="20"/>
              </w:rPr>
              <w:t>1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2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3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4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5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5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6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6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7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7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8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8 Extended Length Bar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9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9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10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10 Submerged Traveling Screens</w:t>
            </w:r>
          </w:p>
        </w:tc>
      </w:tr>
      <w:tr w:rsidR="001B46BD">
        <w:trPr>
          <w:trHeight w:val="316"/>
        </w:trPr>
        <w:tc>
          <w:tcPr>
            <w:tcW w:w="1410" w:type="dxa"/>
            <w:vAlign w:val="center"/>
          </w:tcPr>
          <w:p w:rsidR="001B46BD" w:rsidRDefault="001B46BD">
            <w:pPr>
              <w:jc w:val="center"/>
              <w:rPr>
                <w:b/>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11</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12</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2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13</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3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14</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4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15</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5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16</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6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17</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7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18</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8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19</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9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20</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10 Downstream Migrants Channel</w:t>
            </w:r>
          </w:p>
        </w:tc>
      </w:tr>
      <w:tr w:rsidR="001B46BD">
        <w:trPr>
          <w:trHeight w:val="316"/>
        </w:trPr>
        <w:tc>
          <w:tcPr>
            <w:tcW w:w="1410" w:type="dxa"/>
            <w:vAlign w:val="center"/>
          </w:tcPr>
          <w:p w:rsidR="001B46BD" w:rsidRDefault="00575911">
            <w:pPr>
              <w:jc w:val="center"/>
              <w:rPr>
                <w:snapToGrid w:val="0"/>
                <w:sz w:val="20"/>
              </w:rPr>
            </w:pPr>
            <w:r>
              <w:rPr>
                <w:snapToGrid w:val="0"/>
                <w:sz w:val="20"/>
              </w:rPr>
              <w:t>Surface</w:t>
            </w:r>
          </w:p>
        </w:tc>
        <w:tc>
          <w:tcPr>
            <w:tcW w:w="1200" w:type="dxa"/>
            <w:vAlign w:val="center"/>
          </w:tcPr>
          <w:p w:rsidR="001B46BD" w:rsidRDefault="00575911">
            <w:pPr>
              <w:jc w:val="center"/>
              <w:rPr>
                <w:b/>
                <w:snapToGrid w:val="0"/>
                <w:sz w:val="20"/>
              </w:rPr>
            </w:pPr>
            <w:r>
              <w:rPr>
                <w:b/>
                <w:snapToGrid w:val="0"/>
                <w:sz w:val="20"/>
              </w:rPr>
              <w:t>N02</w:t>
            </w: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South End of Collector</w:t>
            </w:r>
          </w:p>
        </w:tc>
      </w:tr>
      <w:tr w:rsidR="001B46BD">
        <w:trPr>
          <w:trHeight w:val="316"/>
        </w:trPr>
        <w:tc>
          <w:tcPr>
            <w:tcW w:w="1410" w:type="dxa"/>
            <w:vAlign w:val="center"/>
          </w:tcPr>
          <w:p w:rsidR="001B46BD" w:rsidRDefault="00575911">
            <w:pPr>
              <w:pStyle w:val="Subtitle"/>
            </w:pPr>
            <w:r>
              <w:lastRenderedPageBreak/>
              <w:t>Area</w:t>
            </w:r>
          </w:p>
        </w:tc>
        <w:tc>
          <w:tcPr>
            <w:tcW w:w="1200" w:type="dxa"/>
            <w:vAlign w:val="center"/>
          </w:tcPr>
          <w:p w:rsidR="001B46BD" w:rsidRDefault="00575911">
            <w:pPr>
              <w:jc w:val="center"/>
              <w:rPr>
                <w:b/>
                <w:snapToGrid w:val="0"/>
                <w:sz w:val="20"/>
                <w:u w:val="single"/>
              </w:rPr>
            </w:pPr>
            <w:r>
              <w:rPr>
                <w:b/>
                <w:snapToGrid w:val="0"/>
                <w:sz w:val="20"/>
                <w:u w:val="single"/>
              </w:rPr>
              <w:t>Receiver</w:t>
            </w:r>
          </w:p>
        </w:tc>
        <w:tc>
          <w:tcPr>
            <w:tcW w:w="1350" w:type="dxa"/>
            <w:vAlign w:val="center"/>
          </w:tcPr>
          <w:p w:rsidR="001B46BD" w:rsidRDefault="00575911">
            <w:pPr>
              <w:jc w:val="center"/>
              <w:rPr>
                <w:b/>
                <w:snapToGrid w:val="0"/>
                <w:sz w:val="20"/>
                <w:u w:val="single"/>
              </w:rPr>
            </w:pPr>
            <w:r>
              <w:rPr>
                <w:b/>
                <w:snapToGrid w:val="0"/>
                <w:sz w:val="20"/>
                <w:u w:val="single"/>
              </w:rPr>
              <w:t>Antenna</w:t>
            </w:r>
          </w:p>
        </w:tc>
        <w:tc>
          <w:tcPr>
            <w:tcW w:w="1170" w:type="dxa"/>
            <w:vAlign w:val="center"/>
          </w:tcPr>
          <w:p w:rsidR="001B46BD" w:rsidRDefault="00575911">
            <w:pPr>
              <w:jc w:val="center"/>
              <w:rPr>
                <w:b/>
                <w:snapToGrid w:val="0"/>
                <w:sz w:val="20"/>
                <w:u w:val="single"/>
              </w:rPr>
            </w:pPr>
            <w:r>
              <w:rPr>
                <w:b/>
                <w:snapToGrid w:val="0"/>
                <w:sz w:val="20"/>
                <w:u w:val="single"/>
              </w:rPr>
              <w:t>Type</w:t>
            </w:r>
          </w:p>
        </w:tc>
        <w:tc>
          <w:tcPr>
            <w:tcW w:w="4200" w:type="dxa"/>
            <w:vAlign w:val="center"/>
          </w:tcPr>
          <w:p w:rsidR="001B46BD" w:rsidRDefault="00575911">
            <w:pPr>
              <w:jc w:val="center"/>
              <w:rPr>
                <w:b/>
                <w:snapToGrid w:val="0"/>
                <w:sz w:val="20"/>
                <w:u w:val="single"/>
              </w:rPr>
            </w:pPr>
            <w:r>
              <w:rPr>
                <w:b/>
                <w:snapToGrid w:val="0"/>
                <w:sz w:val="20"/>
                <w:u w:val="single"/>
              </w:rPr>
              <w:t>Antenna Coverage</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South End of Collector</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South End of Collector</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Opening of Unit 1</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5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Opening of Unit 1</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6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Opening of Unit 1</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7 (10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Internal  of  Unit 1</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8</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between Units 1 &amp; 2</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9</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between Units 1 &amp; 2</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10</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between Units 1 &amp; 2</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11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Opening of Unit 2</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12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Opening of Unit 2</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13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Opening of Unit 2</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14 (10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Internal  of  Unit 2</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15</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between Units 2 &amp; 3</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16</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between Units 2 &amp; 3</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17</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between Units 2 &amp; 3</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18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Opening of Unit 3</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19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Opening of Unit 3</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20 ( 2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Opening of Unit 3</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21 (10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Internal  of  Unit 3</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22</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between Units 3 &amp; 4</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23</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between Units 3 &amp; 4</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24</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between Units 3 &amp; 4</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25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Opening of Unit 4</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26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Opening of Unit 4</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27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Opening of Unit 4</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28 (10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Internal  of  Unit 4</w:t>
            </w:r>
          </w:p>
        </w:tc>
      </w:tr>
      <w:tr w:rsidR="001B46BD">
        <w:trPr>
          <w:trHeight w:val="316"/>
        </w:trPr>
        <w:tc>
          <w:tcPr>
            <w:tcW w:w="1410" w:type="dxa"/>
            <w:vAlign w:val="center"/>
          </w:tcPr>
          <w:p w:rsidR="001B46BD" w:rsidRDefault="001B46BD">
            <w:pPr>
              <w:jc w:val="center"/>
              <w:rPr>
                <w:b/>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29</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between Units 4 &amp; 5</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30</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between Units 4 &amp; 5</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31</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between Units 4 &amp; 5</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32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Opening of Unit 5</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33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Opening of Unit 5</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34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Opening of Unit 5</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35 (10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Internal  of  Unit 5</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36</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between Units 5 &amp; 6</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37</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between Units 5 &amp; 6</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38</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between Units 5 &amp; 6</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39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Opening of Unit 6</w:t>
            </w:r>
          </w:p>
        </w:tc>
      </w:tr>
      <w:tr w:rsidR="001B46BD">
        <w:trPr>
          <w:trHeight w:val="316"/>
        </w:trPr>
        <w:tc>
          <w:tcPr>
            <w:tcW w:w="1410" w:type="dxa"/>
            <w:vAlign w:val="center"/>
          </w:tcPr>
          <w:p w:rsidR="001B46BD" w:rsidRDefault="001B46BD">
            <w:pPr>
              <w:jc w:val="center"/>
              <w:rPr>
                <w:b/>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40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Opening of Unit 6</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41 (2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Opening of Unit 6</w:t>
            </w:r>
          </w:p>
        </w:tc>
      </w:tr>
      <w:tr w:rsidR="001B46BD">
        <w:trPr>
          <w:trHeight w:val="316"/>
        </w:trPr>
        <w:tc>
          <w:tcPr>
            <w:tcW w:w="1410" w:type="dxa"/>
            <w:vAlign w:val="center"/>
          </w:tcPr>
          <w:p w:rsidR="001B46BD" w:rsidRDefault="00575911">
            <w:pPr>
              <w:pStyle w:val="Subtitle"/>
            </w:pPr>
            <w:r>
              <w:lastRenderedPageBreak/>
              <w:t>Area</w:t>
            </w:r>
          </w:p>
        </w:tc>
        <w:tc>
          <w:tcPr>
            <w:tcW w:w="1200" w:type="dxa"/>
            <w:vAlign w:val="center"/>
          </w:tcPr>
          <w:p w:rsidR="001B46BD" w:rsidRDefault="00575911">
            <w:pPr>
              <w:jc w:val="center"/>
              <w:rPr>
                <w:b/>
                <w:snapToGrid w:val="0"/>
                <w:sz w:val="20"/>
                <w:u w:val="single"/>
              </w:rPr>
            </w:pPr>
            <w:r>
              <w:rPr>
                <w:b/>
                <w:snapToGrid w:val="0"/>
                <w:sz w:val="20"/>
                <w:u w:val="single"/>
              </w:rPr>
              <w:t>Receiver</w:t>
            </w:r>
          </w:p>
        </w:tc>
        <w:tc>
          <w:tcPr>
            <w:tcW w:w="1350" w:type="dxa"/>
            <w:vAlign w:val="center"/>
          </w:tcPr>
          <w:p w:rsidR="001B46BD" w:rsidRDefault="00575911">
            <w:pPr>
              <w:jc w:val="center"/>
              <w:rPr>
                <w:b/>
                <w:snapToGrid w:val="0"/>
                <w:sz w:val="20"/>
                <w:u w:val="single"/>
              </w:rPr>
            </w:pPr>
            <w:r>
              <w:rPr>
                <w:b/>
                <w:snapToGrid w:val="0"/>
                <w:sz w:val="20"/>
                <w:u w:val="single"/>
              </w:rPr>
              <w:t>Antenna</w:t>
            </w:r>
          </w:p>
        </w:tc>
        <w:tc>
          <w:tcPr>
            <w:tcW w:w="1170" w:type="dxa"/>
            <w:vAlign w:val="center"/>
          </w:tcPr>
          <w:p w:rsidR="001B46BD" w:rsidRDefault="00575911">
            <w:pPr>
              <w:jc w:val="center"/>
              <w:rPr>
                <w:b/>
                <w:snapToGrid w:val="0"/>
                <w:sz w:val="20"/>
                <w:u w:val="single"/>
              </w:rPr>
            </w:pPr>
            <w:r>
              <w:rPr>
                <w:b/>
                <w:snapToGrid w:val="0"/>
                <w:sz w:val="20"/>
                <w:u w:val="single"/>
              </w:rPr>
              <w:t>Type</w:t>
            </w:r>
          </w:p>
        </w:tc>
        <w:tc>
          <w:tcPr>
            <w:tcW w:w="4200" w:type="dxa"/>
            <w:vAlign w:val="center"/>
          </w:tcPr>
          <w:p w:rsidR="001B46BD" w:rsidRDefault="00575911">
            <w:pPr>
              <w:jc w:val="center"/>
              <w:rPr>
                <w:b/>
                <w:snapToGrid w:val="0"/>
                <w:sz w:val="20"/>
                <w:u w:val="single"/>
              </w:rPr>
            </w:pPr>
            <w:r>
              <w:rPr>
                <w:b/>
                <w:snapToGrid w:val="0"/>
                <w:sz w:val="20"/>
                <w:u w:val="single"/>
              </w:rPr>
              <w:t>Antenna Coverage</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42 (10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Internal  of  Unit 6</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43</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Shallow   North End of Collector</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44</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Middle   North End of Collector</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45</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Deep   North End of Collector</w:t>
            </w:r>
          </w:p>
        </w:tc>
      </w:tr>
      <w:tr w:rsidR="001B46BD">
        <w:trPr>
          <w:cantSplit/>
          <w:trHeight w:val="316"/>
        </w:trPr>
        <w:tc>
          <w:tcPr>
            <w:tcW w:w="5130" w:type="dxa"/>
            <w:gridSpan w:val="4"/>
            <w:vAlign w:val="center"/>
          </w:tcPr>
          <w:p w:rsidR="001B46BD" w:rsidRDefault="00575911">
            <w:pPr>
              <w:rPr>
                <w:snapToGrid w:val="0"/>
                <w:sz w:val="20"/>
              </w:rPr>
            </w:pPr>
            <w:r>
              <w:rPr>
                <w:b/>
                <w:snapToGrid w:val="0"/>
                <w:sz w:val="20"/>
              </w:rPr>
              <w:t>Forebay Underwater Antennas  (LOTEK DSPs)</w:t>
            </w:r>
          </w:p>
        </w:tc>
        <w:tc>
          <w:tcPr>
            <w:tcW w:w="4200" w:type="dxa"/>
            <w:vAlign w:val="center"/>
          </w:tcPr>
          <w:p w:rsidR="001B46BD" w:rsidRDefault="001B46BD">
            <w:pPr>
              <w:jc w:val="right"/>
              <w:rPr>
                <w:snapToGrid w:val="0"/>
                <w:sz w:val="20"/>
              </w:rPr>
            </w:pPr>
          </w:p>
        </w:tc>
      </w:tr>
      <w:tr w:rsidR="001B46BD">
        <w:trPr>
          <w:trHeight w:val="316"/>
        </w:trPr>
        <w:tc>
          <w:tcPr>
            <w:tcW w:w="1410" w:type="dxa"/>
            <w:vAlign w:val="center"/>
          </w:tcPr>
          <w:p w:rsidR="001B46BD" w:rsidRDefault="00575911">
            <w:pPr>
              <w:jc w:val="center"/>
              <w:rPr>
                <w:snapToGrid w:val="0"/>
                <w:sz w:val="20"/>
              </w:rPr>
            </w:pPr>
            <w:r>
              <w:rPr>
                <w:snapToGrid w:val="0"/>
                <w:sz w:val="20"/>
              </w:rPr>
              <w:t>PH I Sluiceway</w:t>
            </w:r>
          </w:p>
        </w:tc>
        <w:tc>
          <w:tcPr>
            <w:tcW w:w="1200" w:type="dxa"/>
            <w:vAlign w:val="center"/>
          </w:tcPr>
          <w:p w:rsidR="001B46BD" w:rsidRDefault="00575911">
            <w:pPr>
              <w:jc w:val="center"/>
              <w:rPr>
                <w:b/>
                <w:snapToGrid w:val="0"/>
                <w:sz w:val="20"/>
              </w:rPr>
            </w:pPr>
            <w:r>
              <w:rPr>
                <w:b/>
                <w:snapToGrid w:val="0"/>
                <w:sz w:val="20"/>
              </w:rPr>
              <w:t>N03</w:t>
            </w: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Sluiceway, mid-channel, @unit 1, B slot</w:t>
            </w:r>
          </w:p>
        </w:tc>
      </w:tr>
      <w:tr w:rsidR="001B46BD">
        <w:trPr>
          <w:trHeight w:val="316"/>
        </w:trPr>
        <w:tc>
          <w:tcPr>
            <w:tcW w:w="1410" w:type="dxa"/>
            <w:vAlign w:val="center"/>
          </w:tcPr>
          <w:p w:rsidR="001B46BD" w:rsidRDefault="001B46BD">
            <w:pPr>
              <w:jc w:val="center"/>
              <w:rPr>
                <w:b/>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Sluiceway, mid-channel, @unit 1, C slot</w:t>
            </w:r>
          </w:p>
        </w:tc>
      </w:tr>
      <w:tr w:rsidR="001B46BD">
        <w:trPr>
          <w:trHeight w:val="316"/>
        </w:trPr>
        <w:tc>
          <w:tcPr>
            <w:tcW w:w="1410" w:type="dxa"/>
            <w:vAlign w:val="center"/>
          </w:tcPr>
          <w:p w:rsidR="001B46BD" w:rsidRDefault="001B46BD">
            <w:pPr>
              <w:jc w:val="center"/>
              <w:rPr>
                <w:b/>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Sluiceway, mid-channel, @unit 2, A slot</w:t>
            </w:r>
          </w:p>
        </w:tc>
      </w:tr>
      <w:tr w:rsidR="001B46BD">
        <w:trPr>
          <w:trHeight w:val="316"/>
        </w:trPr>
        <w:tc>
          <w:tcPr>
            <w:tcW w:w="1410" w:type="dxa"/>
            <w:vAlign w:val="center"/>
          </w:tcPr>
          <w:p w:rsidR="001B46BD" w:rsidRDefault="001B46BD">
            <w:pPr>
              <w:jc w:val="center"/>
              <w:rPr>
                <w:b/>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Sluiceway, mid-channel, @unit 2, B slot</w:t>
            </w:r>
          </w:p>
        </w:tc>
      </w:tr>
      <w:tr w:rsidR="001B46BD">
        <w:trPr>
          <w:trHeight w:val="316"/>
        </w:trPr>
        <w:tc>
          <w:tcPr>
            <w:tcW w:w="1410" w:type="dxa"/>
            <w:vAlign w:val="center"/>
          </w:tcPr>
          <w:p w:rsidR="001B46BD" w:rsidRDefault="00575911">
            <w:pPr>
              <w:jc w:val="center"/>
              <w:rPr>
                <w:snapToGrid w:val="0"/>
                <w:sz w:val="20"/>
              </w:rPr>
            </w:pPr>
            <w:r>
              <w:rPr>
                <w:snapToGrid w:val="0"/>
                <w:sz w:val="20"/>
              </w:rPr>
              <w:t>Powerhouse II</w:t>
            </w:r>
          </w:p>
        </w:tc>
        <w:tc>
          <w:tcPr>
            <w:tcW w:w="1200" w:type="dxa"/>
            <w:vAlign w:val="center"/>
          </w:tcPr>
          <w:p w:rsidR="001B46BD" w:rsidRDefault="00575911">
            <w:pPr>
              <w:jc w:val="center"/>
              <w:rPr>
                <w:b/>
                <w:snapToGrid w:val="0"/>
                <w:sz w:val="20"/>
              </w:rPr>
            </w:pPr>
            <w:r>
              <w:rPr>
                <w:b/>
                <w:snapToGrid w:val="0"/>
                <w:sz w:val="20"/>
              </w:rPr>
              <w:t>O01</w:t>
            </w:r>
          </w:p>
        </w:tc>
        <w:tc>
          <w:tcPr>
            <w:tcW w:w="1350" w:type="dxa"/>
            <w:vAlign w:val="center"/>
          </w:tcPr>
          <w:p w:rsidR="001B46BD" w:rsidRDefault="00575911">
            <w:pPr>
              <w:jc w:val="center"/>
              <w:rPr>
                <w:snapToGrid w:val="0"/>
                <w:sz w:val="20"/>
              </w:rPr>
            </w:pPr>
            <w:r>
              <w:rPr>
                <w:snapToGrid w:val="0"/>
                <w:sz w:val="20"/>
              </w:rPr>
              <w:t>1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11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12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13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14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O02</w:t>
            </w:r>
          </w:p>
        </w:tc>
        <w:tc>
          <w:tcPr>
            <w:tcW w:w="1350" w:type="dxa"/>
            <w:vAlign w:val="center"/>
          </w:tcPr>
          <w:p w:rsidR="001B46BD" w:rsidRDefault="00575911">
            <w:pPr>
              <w:jc w:val="center"/>
              <w:rPr>
                <w:snapToGrid w:val="0"/>
                <w:sz w:val="20"/>
              </w:rPr>
            </w:pPr>
            <w:r>
              <w:rPr>
                <w:snapToGrid w:val="0"/>
                <w:sz w:val="20"/>
              </w:rPr>
              <w:t>1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15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16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17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 (6 COMB)</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18 Submerged Traveling Screens</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O03</w:t>
            </w: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11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12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13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right"/>
              <w:rPr>
                <w:b/>
                <w:snapToGrid w:val="0"/>
                <w:sz w:val="20"/>
              </w:rPr>
            </w:pPr>
          </w:p>
        </w:tc>
        <w:tc>
          <w:tcPr>
            <w:tcW w:w="1350" w:type="dxa"/>
            <w:vAlign w:val="center"/>
          </w:tcPr>
          <w:p w:rsidR="001B46BD" w:rsidRDefault="00575911">
            <w:pPr>
              <w:jc w:val="center"/>
              <w:rPr>
                <w:snapToGrid w:val="0"/>
                <w:sz w:val="20"/>
              </w:rPr>
            </w:pPr>
            <w:r>
              <w:rPr>
                <w:snapToGrid w:val="0"/>
                <w:sz w:val="20"/>
              </w:rPr>
              <w:t>4</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14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O04</w:t>
            </w: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15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16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17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Unit 18 Downstream Migrants Channel</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O05</w:t>
            </w: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Sluiceway Entrance</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Sluiceway  Channel</w:t>
            </w:r>
          </w:p>
        </w:tc>
      </w:tr>
      <w:tr w:rsidR="001B46BD">
        <w:trPr>
          <w:trHeight w:val="316"/>
        </w:trPr>
        <w:tc>
          <w:tcPr>
            <w:tcW w:w="1410" w:type="dxa"/>
            <w:vAlign w:val="center"/>
          </w:tcPr>
          <w:p w:rsidR="001B46BD" w:rsidRDefault="00575911">
            <w:pPr>
              <w:jc w:val="center"/>
              <w:rPr>
                <w:snapToGrid w:val="0"/>
                <w:sz w:val="20"/>
              </w:rPr>
            </w:pPr>
            <w:r>
              <w:rPr>
                <w:snapToGrid w:val="0"/>
                <w:sz w:val="20"/>
              </w:rPr>
              <w:t>JBS Bypass Pipe</w:t>
            </w:r>
          </w:p>
        </w:tc>
        <w:tc>
          <w:tcPr>
            <w:tcW w:w="1200" w:type="dxa"/>
            <w:vAlign w:val="center"/>
          </w:tcPr>
          <w:p w:rsidR="001B46BD" w:rsidRDefault="00575911">
            <w:pPr>
              <w:jc w:val="center"/>
              <w:rPr>
                <w:b/>
                <w:snapToGrid w:val="0"/>
                <w:sz w:val="20"/>
              </w:rPr>
            </w:pPr>
            <w:r>
              <w:rPr>
                <w:b/>
                <w:snapToGrid w:val="0"/>
                <w:sz w:val="20"/>
              </w:rPr>
              <w:t>O06</w:t>
            </w: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First antenna at entrance to pipe</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Second antenna at entrance to pipe</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Third antenna at entrance to pipe</w:t>
            </w:r>
          </w:p>
        </w:tc>
      </w:tr>
      <w:tr w:rsidR="001B46BD">
        <w:trPr>
          <w:trHeight w:val="316"/>
        </w:trPr>
        <w:tc>
          <w:tcPr>
            <w:tcW w:w="1410" w:type="dxa"/>
            <w:vAlign w:val="center"/>
          </w:tcPr>
          <w:p w:rsidR="001B46BD" w:rsidRDefault="00575911">
            <w:pPr>
              <w:jc w:val="center"/>
              <w:rPr>
                <w:snapToGrid w:val="0"/>
                <w:sz w:val="20"/>
              </w:rPr>
            </w:pPr>
            <w:r>
              <w:rPr>
                <w:snapToGrid w:val="0"/>
                <w:sz w:val="20"/>
              </w:rPr>
              <w:t>Sampling Facility</w:t>
            </w:r>
          </w:p>
        </w:tc>
        <w:tc>
          <w:tcPr>
            <w:tcW w:w="1200" w:type="dxa"/>
            <w:vAlign w:val="center"/>
          </w:tcPr>
          <w:p w:rsidR="001B46BD" w:rsidRDefault="00575911">
            <w:pPr>
              <w:jc w:val="center"/>
              <w:rPr>
                <w:b/>
                <w:snapToGrid w:val="0"/>
                <w:sz w:val="20"/>
              </w:rPr>
            </w:pPr>
            <w:r>
              <w:rPr>
                <w:b/>
                <w:snapToGrid w:val="0"/>
                <w:sz w:val="20"/>
              </w:rPr>
              <w:t>O07</w:t>
            </w:r>
          </w:p>
        </w:tc>
        <w:tc>
          <w:tcPr>
            <w:tcW w:w="1350" w:type="dxa"/>
            <w:vAlign w:val="center"/>
          </w:tcPr>
          <w:p w:rsidR="001B46BD" w:rsidRDefault="00575911">
            <w:pPr>
              <w:jc w:val="center"/>
              <w:rPr>
                <w:snapToGrid w:val="0"/>
                <w:sz w:val="20"/>
              </w:rPr>
            </w:pPr>
            <w:r>
              <w:rPr>
                <w:snapToGrid w:val="0"/>
                <w:sz w:val="20"/>
              </w:rPr>
              <w:t>1</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 xml:space="preserve">MAIN FLUME ABOVE SAMPLING FLUME </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2</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SALMONID (FINGLING) FLUME</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3</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SALMONID (FINGLING) FLUME</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4</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SALMONID (FINGLING) FLUME</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5</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SAMPLING FACILITY (In Building)</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6</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MAIN FLUME BELOW SAMPLING FLUME</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1B46BD">
            <w:pPr>
              <w:jc w:val="center"/>
              <w:rPr>
                <w:b/>
                <w:snapToGrid w:val="0"/>
                <w:sz w:val="20"/>
              </w:rPr>
            </w:pPr>
          </w:p>
        </w:tc>
        <w:tc>
          <w:tcPr>
            <w:tcW w:w="1350" w:type="dxa"/>
            <w:vAlign w:val="center"/>
          </w:tcPr>
          <w:p w:rsidR="001B46BD" w:rsidRDefault="00575911">
            <w:pPr>
              <w:jc w:val="center"/>
              <w:rPr>
                <w:snapToGrid w:val="0"/>
                <w:sz w:val="20"/>
              </w:rPr>
            </w:pPr>
            <w:r>
              <w:rPr>
                <w:snapToGrid w:val="0"/>
                <w:sz w:val="20"/>
              </w:rPr>
              <w:t>7</w:t>
            </w:r>
          </w:p>
        </w:tc>
        <w:tc>
          <w:tcPr>
            <w:tcW w:w="1170" w:type="dxa"/>
            <w:vAlign w:val="center"/>
          </w:tcPr>
          <w:p w:rsidR="001B46BD" w:rsidRDefault="00575911">
            <w:pPr>
              <w:jc w:val="center"/>
              <w:rPr>
                <w:snapToGrid w:val="0"/>
                <w:sz w:val="20"/>
              </w:rPr>
            </w:pPr>
            <w:r>
              <w:rPr>
                <w:snapToGrid w:val="0"/>
                <w:sz w:val="20"/>
              </w:rPr>
              <w:t>UNDERW</w:t>
            </w:r>
          </w:p>
        </w:tc>
        <w:tc>
          <w:tcPr>
            <w:tcW w:w="4200" w:type="dxa"/>
            <w:vAlign w:val="center"/>
          </w:tcPr>
          <w:p w:rsidR="001B46BD" w:rsidRDefault="00575911">
            <w:pPr>
              <w:rPr>
                <w:snapToGrid w:val="0"/>
                <w:sz w:val="20"/>
              </w:rPr>
            </w:pPr>
            <w:r>
              <w:rPr>
                <w:snapToGrid w:val="0"/>
                <w:sz w:val="20"/>
              </w:rPr>
              <w:t>MAIN FLUME BELOW SAMPLING FLUME</w:t>
            </w:r>
          </w:p>
        </w:tc>
      </w:tr>
      <w:tr w:rsidR="001B46BD">
        <w:trPr>
          <w:cantSplit/>
          <w:trHeight w:val="316"/>
        </w:trPr>
        <w:tc>
          <w:tcPr>
            <w:tcW w:w="2610" w:type="dxa"/>
            <w:gridSpan w:val="2"/>
            <w:vAlign w:val="center"/>
          </w:tcPr>
          <w:p w:rsidR="001B46BD" w:rsidRDefault="00575911">
            <w:pPr>
              <w:pStyle w:val="Heading3"/>
              <w:rPr>
                <w:snapToGrid w:val="0"/>
                <w:sz w:val="20"/>
              </w:rPr>
            </w:pPr>
            <w:r>
              <w:rPr>
                <w:sz w:val="20"/>
              </w:rPr>
              <w:t>Tailrace Aerial Antennas</w:t>
            </w:r>
          </w:p>
        </w:tc>
        <w:tc>
          <w:tcPr>
            <w:tcW w:w="1350" w:type="dxa"/>
            <w:vAlign w:val="center"/>
          </w:tcPr>
          <w:p w:rsidR="001B46BD" w:rsidRDefault="001B46BD">
            <w:pPr>
              <w:jc w:val="center"/>
              <w:rPr>
                <w:snapToGrid w:val="0"/>
                <w:sz w:val="20"/>
              </w:rPr>
            </w:pPr>
          </w:p>
        </w:tc>
        <w:tc>
          <w:tcPr>
            <w:tcW w:w="1170" w:type="dxa"/>
            <w:vAlign w:val="center"/>
          </w:tcPr>
          <w:p w:rsidR="001B46BD" w:rsidRDefault="001B46BD">
            <w:pPr>
              <w:jc w:val="center"/>
              <w:rPr>
                <w:snapToGrid w:val="0"/>
                <w:sz w:val="20"/>
              </w:rPr>
            </w:pPr>
          </w:p>
        </w:tc>
        <w:tc>
          <w:tcPr>
            <w:tcW w:w="4200" w:type="dxa"/>
            <w:vAlign w:val="center"/>
          </w:tcPr>
          <w:p w:rsidR="001B46BD" w:rsidRDefault="001B46BD">
            <w:pPr>
              <w:rPr>
                <w:snapToGrid w:val="0"/>
                <w:sz w:val="20"/>
              </w:rPr>
            </w:pPr>
          </w:p>
        </w:tc>
      </w:tr>
      <w:tr w:rsidR="001B46BD">
        <w:trPr>
          <w:trHeight w:val="316"/>
        </w:trPr>
        <w:tc>
          <w:tcPr>
            <w:tcW w:w="1410" w:type="dxa"/>
            <w:vAlign w:val="center"/>
          </w:tcPr>
          <w:p w:rsidR="001B46BD" w:rsidRDefault="00575911">
            <w:pPr>
              <w:jc w:val="center"/>
              <w:rPr>
                <w:snapToGrid w:val="0"/>
                <w:sz w:val="20"/>
              </w:rPr>
            </w:pPr>
            <w:r>
              <w:rPr>
                <w:snapToGrid w:val="0"/>
                <w:sz w:val="20"/>
              </w:rPr>
              <w:t>Exit Stations</w:t>
            </w:r>
          </w:p>
        </w:tc>
        <w:tc>
          <w:tcPr>
            <w:tcW w:w="1200" w:type="dxa"/>
            <w:vAlign w:val="center"/>
          </w:tcPr>
          <w:p w:rsidR="001B46BD" w:rsidRDefault="00575911">
            <w:pPr>
              <w:jc w:val="center"/>
              <w:rPr>
                <w:b/>
                <w:snapToGrid w:val="0"/>
                <w:sz w:val="20"/>
              </w:rPr>
            </w:pPr>
            <w:r>
              <w:rPr>
                <w:b/>
                <w:snapToGrid w:val="0"/>
                <w:sz w:val="20"/>
              </w:rPr>
              <w:t>P01  /  P02</w:t>
            </w:r>
          </w:p>
        </w:tc>
        <w:tc>
          <w:tcPr>
            <w:tcW w:w="1350" w:type="dxa"/>
            <w:vAlign w:val="center"/>
          </w:tcPr>
          <w:p w:rsidR="001B46BD" w:rsidRDefault="00575911">
            <w:pPr>
              <w:jc w:val="center"/>
              <w:rPr>
                <w:snapToGrid w:val="0"/>
                <w:sz w:val="20"/>
              </w:rPr>
            </w:pPr>
            <w:r>
              <w:rPr>
                <w:snapToGrid w:val="0"/>
                <w:sz w:val="20"/>
              </w:rPr>
              <w:t>1 (2 COMB)</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North Powerhouse 2</w:t>
            </w:r>
          </w:p>
        </w:tc>
      </w:tr>
      <w:tr w:rsidR="001B46BD">
        <w:trPr>
          <w:trHeight w:val="316"/>
        </w:trPr>
        <w:tc>
          <w:tcPr>
            <w:tcW w:w="1410" w:type="dxa"/>
            <w:vAlign w:val="center"/>
          </w:tcPr>
          <w:p w:rsidR="001B46BD" w:rsidRDefault="00575911">
            <w:pPr>
              <w:pStyle w:val="Subtitle"/>
            </w:pPr>
            <w:r>
              <w:lastRenderedPageBreak/>
              <w:t>Area</w:t>
            </w:r>
          </w:p>
        </w:tc>
        <w:tc>
          <w:tcPr>
            <w:tcW w:w="1200" w:type="dxa"/>
            <w:vAlign w:val="center"/>
          </w:tcPr>
          <w:p w:rsidR="001B46BD" w:rsidRDefault="00575911">
            <w:pPr>
              <w:jc w:val="center"/>
              <w:rPr>
                <w:b/>
                <w:snapToGrid w:val="0"/>
                <w:sz w:val="20"/>
                <w:u w:val="single"/>
              </w:rPr>
            </w:pPr>
            <w:r>
              <w:rPr>
                <w:b/>
                <w:snapToGrid w:val="0"/>
                <w:sz w:val="20"/>
                <w:u w:val="single"/>
              </w:rPr>
              <w:t>Receiver</w:t>
            </w:r>
          </w:p>
        </w:tc>
        <w:tc>
          <w:tcPr>
            <w:tcW w:w="1350" w:type="dxa"/>
            <w:vAlign w:val="center"/>
          </w:tcPr>
          <w:p w:rsidR="001B46BD" w:rsidRDefault="00575911">
            <w:pPr>
              <w:jc w:val="center"/>
              <w:rPr>
                <w:b/>
                <w:snapToGrid w:val="0"/>
                <w:sz w:val="20"/>
                <w:u w:val="single"/>
              </w:rPr>
            </w:pPr>
            <w:r>
              <w:rPr>
                <w:b/>
                <w:snapToGrid w:val="0"/>
                <w:sz w:val="20"/>
                <w:u w:val="single"/>
              </w:rPr>
              <w:t>Antenna</w:t>
            </w:r>
          </w:p>
        </w:tc>
        <w:tc>
          <w:tcPr>
            <w:tcW w:w="1170" w:type="dxa"/>
            <w:vAlign w:val="center"/>
          </w:tcPr>
          <w:p w:rsidR="001B46BD" w:rsidRDefault="00575911">
            <w:pPr>
              <w:jc w:val="center"/>
              <w:rPr>
                <w:b/>
                <w:snapToGrid w:val="0"/>
                <w:sz w:val="20"/>
                <w:u w:val="single"/>
              </w:rPr>
            </w:pPr>
            <w:r>
              <w:rPr>
                <w:b/>
                <w:snapToGrid w:val="0"/>
                <w:sz w:val="20"/>
                <w:u w:val="single"/>
              </w:rPr>
              <w:t>Type</w:t>
            </w:r>
          </w:p>
        </w:tc>
        <w:tc>
          <w:tcPr>
            <w:tcW w:w="4200" w:type="dxa"/>
            <w:vAlign w:val="center"/>
          </w:tcPr>
          <w:p w:rsidR="001B46BD" w:rsidRDefault="00575911">
            <w:pPr>
              <w:jc w:val="center"/>
              <w:rPr>
                <w:b/>
                <w:snapToGrid w:val="0"/>
                <w:sz w:val="20"/>
                <w:u w:val="single"/>
              </w:rPr>
            </w:pPr>
            <w:r>
              <w:rPr>
                <w:b/>
                <w:snapToGrid w:val="0"/>
                <w:sz w:val="20"/>
                <w:u w:val="single"/>
              </w:rPr>
              <w:t>Antenna Coverage</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P03  /  P04</w:t>
            </w:r>
          </w:p>
        </w:tc>
        <w:tc>
          <w:tcPr>
            <w:tcW w:w="1350" w:type="dxa"/>
            <w:vAlign w:val="center"/>
          </w:tcPr>
          <w:p w:rsidR="001B46BD" w:rsidRDefault="00575911">
            <w:pPr>
              <w:jc w:val="center"/>
              <w:rPr>
                <w:snapToGrid w:val="0"/>
                <w:sz w:val="20"/>
              </w:rPr>
            </w:pPr>
            <w:r>
              <w:rPr>
                <w:snapToGrid w:val="0"/>
                <w:sz w:val="20"/>
              </w:rPr>
              <w:t>1 (3 COMB)</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South Powerhouse 2</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P05  /  P06</w:t>
            </w:r>
          </w:p>
        </w:tc>
        <w:tc>
          <w:tcPr>
            <w:tcW w:w="1350" w:type="dxa"/>
            <w:vAlign w:val="center"/>
          </w:tcPr>
          <w:p w:rsidR="001B46BD" w:rsidRDefault="00575911">
            <w:pPr>
              <w:jc w:val="center"/>
              <w:rPr>
                <w:snapToGrid w:val="0"/>
                <w:sz w:val="20"/>
              </w:rPr>
            </w:pPr>
            <w:r>
              <w:rPr>
                <w:snapToGrid w:val="0"/>
                <w:sz w:val="20"/>
              </w:rPr>
              <w:t>1 (3 COMB)</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North Spillway</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P07  /  P08</w:t>
            </w:r>
          </w:p>
        </w:tc>
        <w:tc>
          <w:tcPr>
            <w:tcW w:w="1350" w:type="dxa"/>
            <w:vAlign w:val="center"/>
          </w:tcPr>
          <w:p w:rsidR="001B46BD" w:rsidRDefault="00575911">
            <w:pPr>
              <w:jc w:val="center"/>
              <w:rPr>
                <w:snapToGrid w:val="0"/>
                <w:sz w:val="20"/>
              </w:rPr>
            </w:pPr>
            <w:r>
              <w:rPr>
                <w:snapToGrid w:val="0"/>
                <w:sz w:val="20"/>
              </w:rPr>
              <w:t>1 (3 COMB)</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South Spillway</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P09  /  P10</w:t>
            </w:r>
          </w:p>
        </w:tc>
        <w:tc>
          <w:tcPr>
            <w:tcW w:w="1350" w:type="dxa"/>
            <w:vAlign w:val="center"/>
          </w:tcPr>
          <w:p w:rsidR="001B46BD" w:rsidRDefault="00575911">
            <w:pPr>
              <w:jc w:val="center"/>
              <w:rPr>
                <w:snapToGrid w:val="0"/>
                <w:sz w:val="20"/>
              </w:rPr>
            </w:pPr>
            <w:r>
              <w:rPr>
                <w:snapToGrid w:val="0"/>
                <w:sz w:val="20"/>
              </w:rPr>
              <w:t>1 (2 COMB)</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North Powerhouse 1</w:t>
            </w: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P11  /  P12</w:t>
            </w:r>
          </w:p>
        </w:tc>
        <w:tc>
          <w:tcPr>
            <w:tcW w:w="1350" w:type="dxa"/>
            <w:vAlign w:val="center"/>
          </w:tcPr>
          <w:p w:rsidR="001B46BD" w:rsidRDefault="00575911">
            <w:pPr>
              <w:jc w:val="center"/>
              <w:rPr>
                <w:snapToGrid w:val="0"/>
                <w:sz w:val="20"/>
              </w:rPr>
            </w:pPr>
            <w:r>
              <w:rPr>
                <w:snapToGrid w:val="0"/>
                <w:sz w:val="20"/>
              </w:rPr>
              <w:t>1 (3 COMB)</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South Powerhouse 1</w:t>
            </w:r>
          </w:p>
        </w:tc>
      </w:tr>
      <w:tr w:rsidR="001B46BD">
        <w:trPr>
          <w:trHeight w:val="316"/>
        </w:trPr>
        <w:tc>
          <w:tcPr>
            <w:tcW w:w="1410" w:type="dxa"/>
            <w:vAlign w:val="center"/>
          </w:tcPr>
          <w:p w:rsidR="001B46BD" w:rsidRDefault="00575911">
            <w:pPr>
              <w:jc w:val="center"/>
              <w:rPr>
                <w:snapToGrid w:val="0"/>
                <w:sz w:val="20"/>
              </w:rPr>
            </w:pPr>
            <w:r>
              <w:rPr>
                <w:snapToGrid w:val="0"/>
                <w:sz w:val="20"/>
              </w:rPr>
              <w:t>JBS project site</w:t>
            </w:r>
          </w:p>
        </w:tc>
        <w:tc>
          <w:tcPr>
            <w:tcW w:w="1200" w:type="dxa"/>
            <w:vAlign w:val="center"/>
          </w:tcPr>
          <w:p w:rsidR="001B46BD" w:rsidRDefault="00575911">
            <w:pPr>
              <w:jc w:val="center"/>
              <w:rPr>
                <w:b/>
                <w:snapToGrid w:val="0"/>
                <w:sz w:val="20"/>
              </w:rPr>
            </w:pPr>
            <w:r>
              <w:rPr>
                <w:b/>
                <w:snapToGrid w:val="0"/>
                <w:sz w:val="20"/>
              </w:rPr>
              <w:t>Q01  /  Q02</w:t>
            </w:r>
          </w:p>
        </w:tc>
        <w:tc>
          <w:tcPr>
            <w:tcW w:w="1350" w:type="dxa"/>
            <w:vAlign w:val="center"/>
          </w:tcPr>
          <w:p w:rsidR="001B46BD" w:rsidRDefault="00575911">
            <w:pPr>
              <w:jc w:val="center"/>
              <w:rPr>
                <w:snapToGrid w:val="0"/>
                <w:sz w:val="20"/>
              </w:rPr>
            </w:pPr>
            <w:r>
              <w:rPr>
                <w:snapToGrid w:val="0"/>
                <w:sz w:val="20"/>
              </w:rPr>
              <w:t>1 (4 COMB)</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Washington Shore (just downstream of the outfall)</w:t>
            </w:r>
          </w:p>
        </w:tc>
      </w:tr>
      <w:tr w:rsidR="001B46BD">
        <w:trPr>
          <w:trHeight w:val="316"/>
        </w:trPr>
        <w:tc>
          <w:tcPr>
            <w:tcW w:w="1410" w:type="dxa"/>
            <w:vAlign w:val="center"/>
          </w:tcPr>
          <w:p w:rsidR="001B46BD" w:rsidRDefault="00575911">
            <w:pPr>
              <w:pStyle w:val="Heading2"/>
              <w:rPr>
                <w:sz w:val="20"/>
              </w:rPr>
            </w:pPr>
            <w:r>
              <w:rPr>
                <w:sz w:val="20"/>
              </w:rPr>
              <w:t>Survival Gates</w:t>
            </w:r>
          </w:p>
        </w:tc>
        <w:tc>
          <w:tcPr>
            <w:tcW w:w="1200" w:type="dxa"/>
            <w:vAlign w:val="center"/>
          </w:tcPr>
          <w:p w:rsidR="001B46BD" w:rsidRDefault="001B46BD">
            <w:pPr>
              <w:jc w:val="center"/>
              <w:rPr>
                <w:b/>
                <w:snapToGrid w:val="0"/>
                <w:sz w:val="20"/>
              </w:rPr>
            </w:pPr>
          </w:p>
        </w:tc>
        <w:tc>
          <w:tcPr>
            <w:tcW w:w="1350" w:type="dxa"/>
            <w:vAlign w:val="center"/>
          </w:tcPr>
          <w:p w:rsidR="001B46BD" w:rsidRDefault="001B46BD">
            <w:pPr>
              <w:jc w:val="center"/>
              <w:rPr>
                <w:snapToGrid w:val="0"/>
                <w:sz w:val="20"/>
              </w:rPr>
            </w:pPr>
          </w:p>
        </w:tc>
        <w:tc>
          <w:tcPr>
            <w:tcW w:w="1170" w:type="dxa"/>
            <w:vAlign w:val="center"/>
          </w:tcPr>
          <w:p w:rsidR="001B46BD" w:rsidRDefault="001B46BD">
            <w:pPr>
              <w:jc w:val="center"/>
              <w:rPr>
                <w:snapToGrid w:val="0"/>
                <w:sz w:val="20"/>
              </w:rPr>
            </w:pPr>
          </w:p>
        </w:tc>
        <w:tc>
          <w:tcPr>
            <w:tcW w:w="4200" w:type="dxa"/>
            <w:vAlign w:val="center"/>
          </w:tcPr>
          <w:p w:rsidR="001B46BD" w:rsidRDefault="001B46BD">
            <w:pPr>
              <w:jc w:val="right"/>
              <w:rPr>
                <w:snapToGrid w:val="0"/>
                <w:sz w:val="20"/>
              </w:rPr>
            </w:pPr>
          </w:p>
        </w:tc>
      </w:tr>
      <w:tr w:rsidR="001B46BD">
        <w:trPr>
          <w:trHeight w:val="316"/>
        </w:trPr>
        <w:tc>
          <w:tcPr>
            <w:tcW w:w="1410" w:type="dxa"/>
            <w:vAlign w:val="center"/>
          </w:tcPr>
          <w:p w:rsidR="001B46BD" w:rsidRDefault="001B46BD">
            <w:pPr>
              <w:jc w:val="center"/>
              <w:rPr>
                <w:snapToGrid w:val="0"/>
                <w:sz w:val="20"/>
              </w:rPr>
            </w:pPr>
          </w:p>
        </w:tc>
        <w:tc>
          <w:tcPr>
            <w:tcW w:w="1200" w:type="dxa"/>
            <w:vAlign w:val="center"/>
          </w:tcPr>
          <w:p w:rsidR="001B46BD" w:rsidRDefault="00575911">
            <w:pPr>
              <w:jc w:val="center"/>
              <w:rPr>
                <w:b/>
                <w:snapToGrid w:val="0"/>
                <w:sz w:val="20"/>
              </w:rPr>
            </w:pPr>
            <w:r>
              <w:rPr>
                <w:b/>
                <w:snapToGrid w:val="0"/>
                <w:sz w:val="20"/>
              </w:rPr>
              <w:t>Q19  /  Q20</w:t>
            </w:r>
          </w:p>
        </w:tc>
        <w:tc>
          <w:tcPr>
            <w:tcW w:w="1350" w:type="dxa"/>
            <w:vAlign w:val="center"/>
          </w:tcPr>
          <w:p w:rsidR="001B46BD" w:rsidRDefault="00575911">
            <w:pPr>
              <w:jc w:val="center"/>
              <w:rPr>
                <w:snapToGrid w:val="0"/>
                <w:sz w:val="20"/>
              </w:rPr>
            </w:pPr>
            <w:r>
              <w:rPr>
                <w:snapToGrid w:val="0"/>
                <w:sz w:val="20"/>
              </w:rPr>
              <w:t>1 (2 COMB)</w:t>
            </w:r>
          </w:p>
        </w:tc>
        <w:tc>
          <w:tcPr>
            <w:tcW w:w="1170" w:type="dxa"/>
            <w:vAlign w:val="center"/>
          </w:tcPr>
          <w:p w:rsidR="001B46BD" w:rsidRDefault="00575911">
            <w:pPr>
              <w:jc w:val="center"/>
              <w:rPr>
                <w:snapToGrid w:val="0"/>
                <w:sz w:val="20"/>
              </w:rPr>
            </w:pPr>
            <w:r>
              <w:rPr>
                <w:snapToGrid w:val="0"/>
                <w:sz w:val="20"/>
              </w:rPr>
              <w:t>AERIAL</w:t>
            </w:r>
          </w:p>
        </w:tc>
        <w:tc>
          <w:tcPr>
            <w:tcW w:w="4200" w:type="dxa"/>
            <w:vAlign w:val="center"/>
          </w:tcPr>
          <w:p w:rsidR="001B46BD" w:rsidRDefault="00575911">
            <w:pPr>
              <w:rPr>
                <w:snapToGrid w:val="0"/>
                <w:sz w:val="20"/>
              </w:rPr>
            </w:pPr>
            <w:r>
              <w:rPr>
                <w:snapToGrid w:val="0"/>
                <w:sz w:val="20"/>
              </w:rPr>
              <w:t>Pole site near OR shore/ Cape Horn – GATE 3</w:t>
            </w:r>
          </w:p>
        </w:tc>
      </w:tr>
    </w:tbl>
    <w:p w:rsidR="00575911" w:rsidRDefault="00575911">
      <w:pPr>
        <w:pStyle w:val="BodyTextIndent"/>
        <w:spacing w:line="360" w:lineRule="auto"/>
        <w:ind w:left="0" w:firstLine="0"/>
        <w:rPr>
          <w:sz w:val="20"/>
        </w:rPr>
      </w:pPr>
    </w:p>
    <w:sectPr w:rsidR="00575911" w:rsidSect="001B46BD">
      <w:footerReference w:type="default" r:id="rId24"/>
      <w:footerReference w:type="first" r:id="rId25"/>
      <w:pgSz w:w="12240" w:h="15840" w:code="1"/>
      <w:pgMar w:top="1440" w:right="1440" w:bottom="1440" w:left="1440" w:header="720" w:footer="720" w:gutter="0"/>
      <w:pgNumType w:start="19"/>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C3D" w:rsidRDefault="00244C3D">
      <w:r>
        <w:separator/>
      </w:r>
    </w:p>
  </w:endnote>
  <w:endnote w:type="continuationSeparator" w:id="0">
    <w:p w:rsidR="00244C3D" w:rsidRDefault="00244C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Footer"/>
      <w:framePr w:wrap="around" w:vAnchor="text" w:hAnchor="margin" w:xAlign="center" w:y="1"/>
      <w:rPr>
        <w:rStyle w:val="PageNumber"/>
      </w:rPr>
    </w:pPr>
    <w:r>
      <w:rPr>
        <w:rStyle w:val="PageNumber"/>
      </w:rPr>
      <w:fldChar w:fldCharType="begin"/>
    </w:r>
    <w:r w:rsidR="00575911">
      <w:rPr>
        <w:rStyle w:val="PageNumber"/>
      </w:rPr>
      <w:instrText xml:space="preserve">PAGE  </w:instrText>
    </w:r>
    <w:r>
      <w:rPr>
        <w:rStyle w:val="PageNumber"/>
      </w:rPr>
      <w:fldChar w:fldCharType="end"/>
    </w:r>
  </w:p>
  <w:p w:rsidR="001B46BD" w:rsidRDefault="001B46B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Footer"/>
      <w:jc w:val="center"/>
    </w:pPr>
    <w:r>
      <w:rPr>
        <w:rStyle w:val="PageNumber"/>
      </w:rPr>
      <w:fldChar w:fldCharType="begin"/>
    </w:r>
    <w:r w:rsidR="00575911">
      <w:rPr>
        <w:rStyle w:val="PageNumber"/>
      </w:rPr>
      <w:instrText xml:space="preserve"> PAGE </w:instrText>
    </w:r>
    <w:r>
      <w:rPr>
        <w:rStyle w:val="PageNumber"/>
      </w:rPr>
      <w:fldChar w:fldCharType="separate"/>
    </w:r>
    <w:r w:rsidR="00210D36">
      <w:rPr>
        <w:rStyle w:val="PageNumber"/>
        <w:noProof/>
      </w:rPr>
      <w:t>26</w:t>
    </w:r>
    <w:r>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Footer"/>
      <w:jc w:val="center"/>
    </w:pPr>
    <w:r>
      <w:rPr>
        <w:rStyle w:val="PageNumber"/>
      </w:rPr>
      <w:fldChar w:fldCharType="begin"/>
    </w:r>
    <w:r w:rsidR="00575911">
      <w:rPr>
        <w:rStyle w:val="PageNumber"/>
      </w:rPr>
      <w:instrText xml:space="preserve"> PAGE </w:instrText>
    </w:r>
    <w:r>
      <w:rPr>
        <w:rStyle w:val="PageNumber"/>
      </w:rPr>
      <w:fldChar w:fldCharType="separate"/>
    </w:r>
    <w:r w:rsidR="00210D36">
      <w:rPr>
        <w:rStyle w:val="PageNumber"/>
        <w:noProof/>
      </w:rPr>
      <w:t>19</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Footer"/>
      <w:jc w:val="center"/>
    </w:pPr>
    <w:r>
      <w:rPr>
        <w:rStyle w:val="PageNumber"/>
      </w:rPr>
      <w:fldChar w:fldCharType="begin"/>
    </w:r>
    <w:r w:rsidR="00575911">
      <w:rPr>
        <w:rStyle w:val="PageNumber"/>
      </w:rPr>
      <w:instrText xml:space="preserve"> PAGE </w:instrText>
    </w:r>
    <w:r>
      <w:rPr>
        <w:rStyle w:val="PageNumber"/>
      </w:rPr>
      <w:fldChar w:fldCharType="separate"/>
    </w:r>
    <w:r w:rsidR="00210D36">
      <w:rPr>
        <w:rStyle w:val="PageNumber"/>
        <w:noProof/>
      </w:rPr>
      <w:t>ii</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Footer"/>
      <w:jc w:val="center"/>
    </w:pPr>
    <w:r>
      <w:rPr>
        <w:rStyle w:val="PageNumber"/>
      </w:rPr>
      <w:fldChar w:fldCharType="begin"/>
    </w:r>
    <w:r w:rsidR="00575911">
      <w:rPr>
        <w:rStyle w:val="PageNumber"/>
      </w:rPr>
      <w:instrText xml:space="preserve"> PAGE </w:instrText>
    </w:r>
    <w:r>
      <w:rPr>
        <w:rStyle w:val="PageNumber"/>
      </w:rPr>
      <w:fldChar w:fldCharType="separate"/>
    </w:r>
    <w:r w:rsidR="00210D36">
      <w:rPr>
        <w:rStyle w:val="PageNumber"/>
        <w:noProof/>
      </w:rPr>
      <w:t>i</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Footer"/>
      <w:jc w:val="center"/>
    </w:pPr>
    <w:r>
      <w:rPr>
        <w:rStyle w:val="PageNumber"/>
      </w:rPr>
      <w:fldChar w:fldCharType="begin"/>
    </w:r>
    <w:r w:rsidR="00575911">
      <w:rPr>
        <w:rStyle w:val="PageNumber"/>
      </w:rPr>
      <w:instrText xml:space="preserve"> PAGE </w:instrText>
    </w:r>
    <w:r>
      <w:rPr>
        <w:rStyle w:val="PageNumber"/>
      </w:rPr>
      <w:fldChar w:fldCharType="separate"/>
    </w:r>
    <w:r w:rsidR="00210D36">
      <w:rPr>
        <w:rStyle w:val="PageNumber"/>
        <w:noProof/>
      </w:rPr>
      <w:t>14</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Footer"/>
      <w:jc w:val="center"/>
    </w:pPr>
    <w:r>
      <w:rPr>
        <w:rStyle w:val="PageNumber"/>
      </w:rPr>
      <w:fldChar w:fldCharType="begin"/>
    </w:r>
    <w:r w:rsidR="00575911">
      <w:rPr>
        <w:rStyle w:val="PageNumber"/>
      </w:rPr>
      <w:instrText xml:space="preserve"> PAGE </w:instrText>
    </w:r>
    <w:r>
      <w:rPr>
        <w:rStyle w:val="PageNumber"/>
      </w:rPr>
      <w:fldChar w:fldCharType="separate"/>
    </w:r>
    <w:r w:rsidR="00210D36">
      <w:rPr>
        <w:rStyle w:val="PageNumber"/>
        <w:noProof/>
      </w:rPr>
      <w:t>1</w:t>
    </w:r>
    <w:r>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Footer"/>
      <w:jc w:val="center"/>
    </w:pPr>
    <w:r>
      <w:rPr>
        <w:rStyle w:val="PageNumber"/>
      </w:rPr>
      <w:fldChar w:fldCharType="begin"/>
    </w:r>
    <w:r w:rsidR="00575911">
      <w:rPr>
        <w:rStyle w:val="PageNumber"/>
      </w:rPr>
      <w:instrText xml:space="preserve"> PAGE </w:instrText>
    </w:r>
    <w:r>
      <w:rPr>
        <w:rStyle w:val="PageNumber"/>
      </w:rPr>
      <w:fldChar w:fldCharType="separate"/>
    </w:r>
    <w:r w:rsidR="00210D36">
      <w:rPr>
        <w:rStyle w:val="PageNumber"/>
        <w:noProof/>
      </w:rPr>
      <w:t>18</w:t>
    </w:r>
    <w:r>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Footer"/>
      <w:jc w:val="center"/>
    </w:pPr>
    <w:r>
      <w:rPr>
        <w:rStyle w:val="PageNumber"/>
      </w:rPr>
      <w:fldChar w:fldCharType="begin"/>
    </w:r>
    <w:r w:rsidR="00575911">
      <w:rPr>
        <w:rStyle w:val="PageNumber"/>
      </w:rPr>
      <w:instrText xml:space="preserve"> PAGE </w:instrText>
    </w:r>
    <w:r>
      <w:rPr>
        <w:rStyle w:val="PageNumber"/>
      </w:rPr>
      <w:fldChar w:fldCharType="separate"/>
    </w:r>
    <w:r w:rsidR="00210D36">
      <w:rPr>
        <w:rStyle w:val="PageNumber"/>
        <w:noProof/>
      </w:rPr>
      <w:t>15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C3D" w:rsidRDefault="00244C3D">
      <w:r>
        <w:separator/>
      </w:r>
    </w:p>
  </w:footnote>
  <w:footnote w:type="continuationSeparator" w:id="0">
    <w:p w:rsidR="00244C3D" w:rsidRDefault="00244C3D">
      <w:r>
        <w:continuationSeparator/>
      </w:r>
    </w:p>
  </w:footnote>
  <w:footnote w:id="1">
    <w:p w:rsidR="001B46BD" w:rsidRDefault="00575911">
      <w:pPr>
        <w:pStyle w:val="FootnoteText"/>
        <w:ind w:left="-720"/>
      </w:pPr>
      <w:r>
        <w:rPr>
          <w:rStyle w:val="FootnoteReference"/>
        </w:rPr>
        <w:t>1</w:t>
      </w:r>
      <w:r>
        <w:t xml:space="preserve"> For the purpose of this evaluation, air-spawned steelhead will be referred to as kelts (N=11).</w:t>
      </w:r>
    </w:p>
  </w:footnote>
  <w:footnote w:id="2">
    <w:p w:rsidR="001B46BD" w:rsidRDefault="00575911">
      <w:pPr>
        <w:pStyle w:val="FootnoteText"/>
        <w:ind w:left="-720"/>
      </w:pPr>
      <w:r>
        <w:rPr>
          <w:rStyle w:val="FootnoteReference"/>
        </w:rPr>
        <w:t>2</w:t>
      </w:r>
      <w:r>
        <w:t xml:space="preserve"> Full passage histories are defined as kelts that were contacted in their passage forebay, and subsequently contacted in juvenile bypass systems, tailrace areas, at exit stations, or in combinations of these sites. </w:t>
      </w:r>
    </w:p>
    <w:p w:rsidR="001B46BD" w:rsidRDefault="001B46BD"/>
    <w:p w:rsidR="001B46BD" w:rsidRDefault="00575911">
      <w:pPr>
        <w:pStyle w:val="FootnoteText"/>
      </w:pPr>
      <w:r>
        <w:t xml:space="preserve">  </w:t>
      </w:r>
    </w:p>
  </w:footnote>
  <w:footnote w:id="3">
    <w:p w:rsidR="001B46BD" w:rsidRDefault="00575911">
      <w:pPr>
        <w:pStyle w:val="FootnoteText"/>
      </w:pPr>
      <w:r>
        <w:rPr>
          <w:rStyle w:val="FootnoteReference"/>
        </w:rPr>
        <w:t>3</w:t>
      </w:r>
      <w:r>
        <w:t xml:space="preserve"> Use of trade name does not imply endorsement by USACE.</w:t>
      </w:r>
    </w:p>
  </w:footnote>
  <w:footnote w:id="4">
    <w:p w:rsidR="001B46BD" w:rsidRDefault="00575911">
      <w:pPr>
        <w:pStyle w:val="FootnoteText"/>
        <w:rPr>
          <w:sz w:val="22"/>
        </w:rPr>
      </w:pPr>
      <w:r>
        <w:rPr>
          <w:sz w:val="22"/>
          <w:vertAlign w:val="superscript"/>
        </w:rPr>
        <w:t>4</w:t>
      </w:r>
      <w:r>
        <w:rPr>
          <w:sz w:val="22"/>
        </w:rPr>
        <w:t xml:space="preserve"> Use of trade name does not imply endorsement by the USACE.</w:t>
      </w:r>
    </w:p>
  </w:footnote>
  <w:footnote w:id="5">
    <w:p w:rsidR="001B46BD" w:rsidRDefault="001B46BD">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BD" w:rsidRDefault="001B46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64F3B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76A0BA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8C2E78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E3E7A06"/>
    <w:lvl w:ilvl="0">
      <w:start w:val="1"/>
      <w:numFmt w:val="decimal"/>
      <w:pStyle w:val="ListNumber2"/>
      <w:lvlText w:val="%1."/>
      <w:lvlJc w:val="left"/>
      <w:pPr>
        <w:tabs>
          <w:tab w:val="num" w:pos="720"/>
        </w:tabs>
        <w:ind w:left="720" w:hanging="360"/>
      </w:pPr>
    </w:lvl>
  </w:abstractNum>
  <w:abstractNum w:abstractNumId="4">
    <w:nsid w:val="FFFFFF80"/>
    <w:multiLevelType w:val="singleLevel"/>
    <w:tmpl w:val="9BD818E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F90231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B30B27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0FCF75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2864898"/>
    <w:lvl w:ilvl="0">
      <w:start w:val="1"/>
      <w:numFmt w:val="decimal"/>
      <w:pStyle w:val="ListNumber"/>
      <w:lvlText w:val="%1."/>
      <w:lvlJc w:val="left"/>
      <w:pPr>
        <w:tabs>
          <w:tab w:val="num" w:pos="360"/>
        </w:tabs>
        <w:ind w:left="360" w:hanging="360"/>
      </w:pPr>
    </w:lvl>
  </w:abstractNum>
  <w:abstractNum w:abstractNumId="9">
    <w:nsid w:val="FFFFFF89"/>
    <w:multiLevelType w:val="singleLevel"/>
    <w:tmpl w:val="18B4FCA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3A36E9"/>
    <w:multiLevelType w:val="hybridMultilevel"/>
    <w:tmpl w:val="797641A2"/>
    <w:lvl w:ilvl="0" w:tplc="852C8F5E">
      <w:start w:val="1"/>
      <w:numFmt w:val="decimal"/>
      <w:lvlText w:val="%1)"/>
      <w:lvlJc w:val="left"/>
      <w:pPr>
        <w:tabs>
          <w:tab w:val="num" w:pos="720"/>
        </w:tabs>
        <w:ind w:left="720" w:hanging="360"/>
      </w:pPr>
      <w:rPr>
        <w:rFonts w:hint="default"/>
      </w:rPr>
    </w:lvl>
    <w:lvl w:ilvl="1" w:tplc="7D0E026E" w:tentative="1">
      <w:start w:val="1"/>
      <w:numFmt w:val="lowerLetter"/>
      <w:lvlText w:val="%2."/>
      <w:lvlJc w:val="left"/>
      <w:pPr>
        <w:tabs>
          <w:tab w:val="num" w:pos="1440"/>
        </w:tabs>
        <w:ind w:left="1440" w:hanging="360"/>
      </w:pPr>
    </w:lvl>
    <w:lvl w:ilvl="2" w:tplc="B6601B4A" w:tentative="1">
      <w:start w:val="1"/>
      <w:numFmt w:val="lowerRoman"/>
      <w:lvlText w:val="%3."/>
      <w:lvlJc w:val="right"/>
      <w:pPr>
        <w:tabs>
          <w:tab w:val="num" w:pos="2160"/>
        </w:tabs>
        <w:ind w:left="2160" w:hanging="180"/>
      </w:pPr>
    </w:lvl>
    <w:lvl w:ilvl="3" w:tplc="5A6A021A" w:tentative="1">
      <w:start w:val="1"/>
      <w:numFmt w:val="decimal"/>
      <w:lvlText w:val="%4."/>
      <w:lvlJc w:val="left"/>
      <w:pPr>
        <w:tabs>
          <w:tab w:val="num" w:pos="2880"/>
        </w:tabs>
        <w:ind w:left="2880" w:hanging="360"/>
      </w:pPr>
    </w:lvl>
    <w:lvl w:ilvl="4" w:tplc="0A2C74A2" w:tentative="1">
      <w:start w:val="1"/>
      <w:numFmt w:val="lowerLetter"/>
      <w:lvlText w:val="%5."/>
      <w:lvlJc w:val="left"/>
      <w:pPr>
        <w:tabs>
          <w:tab w:val="num" w:pos="3600"/>
        </w:tabs>
        <w:ind w:left="3600" w:hanging="360"/>
      </w:pPr>
    </w:lvl>
    <w:lvl w:ilvl="5" w:tplc="D71E1F66" w:tentative="1">
      <w:start w:val="1"/>
      <w:numFmt w:val="lowerRoman"/>
      <w:lvlText w:val="%6."/>
      <w:lvlJc w:val="right"/>
      <w:pPr>
        <w:tabs>
          <w:tab w:val="num" w:pos="4320"/>
        </w:tabs>
        <w:ind w:left="4320" w:hanging="180"/>
      </w:pPr>
    </w:lvl>
    <w:lvl w:ilvl="6" w:tplc="05FAC4AC" w:tentative="1">
      <w:start w:val="1"/>
      <w:numFmt w:val="decimal"/>
      <w:lvlText w:val="%7."/>
      <w:lvlJc w:val="left"/>
      <w:pPr>
        <w:tabs>
          <w:tab w:val="num" w:pos="5040"/>
        </w:tabs>
        <w:ind w:left="5040" w:hanging="360"/>
      </w:pPr>
    </w:lvl>
    <w:lvl w:ilvl="7" w:tplc="AF9EB14E" w:tentative="1">
      <w:start w:val="1"/>
      <w:numFmt w:val="lowerLetter"/>
      <w:lvlText w:val="%8."/>
      <w:lvlJc w:val="left"/>
      <w:pPr>
        <w:tabs>
          <w:tab w:val="num" w:pos="5760"/>
        </w:tabs>
        <w:ind w:left="5760" w:hanging="360"/>
      </w:pPr>
    </w:lvl>
    <w:lvl w:ilvl="8" w:tplc="A25C507E" w:tentative="1">
      <w:start w:val="1"/>
      <w:numFmt w:val="lowerRoman"/>
      <w:lvlText w:val="%9."/>
      <w:lvlJc w:val="right"/>
      <w:pPr>
        <w:tabs>
          <w:tab w:val="num" w:pos="6480"/>
        </w:tabs>
        <w:ind w:left="6480" w:hanging="180"/>
      </w:pPr>
    </w:lvl>
  </w:abstractNum>
  <w:abstractNum w:abstractNumId="11">
    <w:nsid w:val="45AE5C46"/>
    <w:multiLevelType w:val="hybridMultilevel"/>
    <w:tmpl w:val="5BE2476E"/>
    <w:lvl w:ilvl="0" w:tplc="0F720884">
      <w:start w:val="1"/>
      <w:numFmt w:val="decimal"/>
      <w:lvlText w:val="%1)"/>
      <w:lvlJc w:val="left"/>
      <w:pPr>
        <w:tabs>
          <w:tab w:val="num" w:pos="-345"/>
        </w:tabs>
        <w:ind w:left="-345" w:hanging="375"/>
      </w:pPr>
      <w:rPr>
        <w:rFonts w:hint="default"/>
      </w:rPr>
    </w:lvl>
    <w:lvl w:ilvl="1" w:tplc="0728E542">
      <w:start w:val="1"/>
      <w:numFmt w:val="lowerLetter"/>
      <w:lvlText w:val="%2)"/>
      <w:lvlJc w:val="left"/>
      <w:pPr>
        <w:tabs>
          <w:tab w:val="num" w:pos="360"/>
        </w:tabs>
        <w:ind w:left="360" w:hanging="360"/>
      </w:pPr>
      <w:rPr>
        <w:rFonts w:hint="default"/>
      </w:rPr>
    </w:lvl>
    <w:lvl w:ilvl="2" w:tplc="C5C2498E" w:tentative="1">
      <w:start w:val="1"/>
      <w:numFmt w:val="lowerRoman"/>
      <w:lvlText w:val="%3."/>
      <w:lvlJc w:val="right"/>
      <w:pPr>
        <w:tabs>
          <w:tab w:val="num" w:pos="1080"/>
        </w:tabs>
        <w:ind w:left="1080" w:hanging="180"/>
      </w:pPr>
    </w:lvl>
    <w:lvl w:ilvl="3" w:tplc="2286DAEC" w:tentative="1">
      <w:start w:val="1"/>
      <w:numFmt w:val="decimal"/>
      <w:lvlText w:val="%4."/>
      <w:lvlJc w:val="left"/>
      <w:pPr>
        <w:tabs>
          <w:tab w:val="num" w:pos="1800"/>
        </w:tabs>
        <w:ind w:left="1800" w:hanging="360"/>
      </w:pPr>
    </w:lvl>
    <w:lvl w:ilvl="4" w:tplc="1960EE1C" w:tentative="1">
      <w:start w:val="1"/>
      <w:numFmt w:val="lowerLetter"/>
      <w:lvlText w:val="%5."/>
      <w:lvlJc w:val="left"/>
      <w:pPr>
        <w:tabs>
          <w:tab w:val="num" w:pos="2520"/>
        </w:tabs>
        <w:ind w:left="2520" w:hanging="360"/>
      </w:pPr>
    </w:lvl>
    <w:lvl w:ilvl="5" w:tplc="293E7754" w:tentative="1">
      <w:start w:val="1"/>
      <w:numFmt w:val="lowerRoman"/>
      <w:lvlText w:val="%6."/>
      <w:lvlJc w:val="right"/>
      <w:pPr>
        <w:tabs>
          <w:tab w:val="num" w:pos="3240"/>
        </w:tabs>
        <w:ind w:left="3240" w:hanging="180"/>
      </w:pPr>
    </w:lvl>
    <w:lvl w:ilvl="6" w:tplc="62D62B24" w:tentative="1">
      <w:start w:val="1"/>
      <w:numFmt w:val="decimal"/>
      <w:lvlText w:val="%7."/>
      <w:lvlJc w:val="left"/>
      <w:pPr>
        <w:tabs>
          <w:tab w:val="num" w:pos="3960"/>
        </w:tabs>
        <w:ind w:left="3960" w:hanging="360"/>
      </w:pPr>
    </w:lvl>
    <w:lvl w:ilvl="7" w:tplc="56626BD6" w:tentative="1">
      <w:start w:val="1"/>
      <w:numFmt w:val="lowerLetter"/>
      <w:lvlText w:val="%8."/>
      <w:lvlJc w:val="left"/>
      <w:pPr>
        <w:tabs>
          <w:tab w:val="num" w:pos="4680"/>
        </w:tabs>
        <w:ind w:left="4680" w:hanging="360"/>
      </w:pPr>
    </w:lvl>
    <w:lvl w:ilvl="8" w:tplc="754086AE" w:tentative="1">
      <w:start w:val="1"/>
      <w:numFmt w:val="lowerRoman"/>
      <w:lvlText w:val="%9."/>
      <w:lvlJc w:val="right"/>
      <w:pPr>
        <w:tabs>
          <w:tab w:val="num" w:pos="5400"/>
        </w:tabs>
        <w:ind w:left="5400" w:hanging="180"/>
      </w:pPr>
    </w:lvl>
  </w:abstractNum>
  <w:abstractNum w:abstractNumId="12">
    <w:nsid w:val="7CA76845"/>
    <w:multiLevelType w:val="multilevel"/>
    <w:tmpl w:val="FE164A0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1"/>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activeWritingStyle w:appName="MSWord" w:lang="en-US" w:vendorID="64" w:dllVersion="131077" w:nlCheck="1" w:checkStyle="1"/>
  <w:activeWritingStyle w:appName="MSWord" w:lang="en-US" w:vendorID="64" w:dllVersion="131078" w:nlCheck="1" w:checkStyle="1"/>
  <w:proofState w:spelling="clean" w:grammar="clean"/>
  <w:defaultTabStop w:val="720"/>
  <w:noPunctuationKerning/>
  <w:characterSpacingControl w:val="doNotCompress"/>
  <w:footnotePr>
    <w:footnote w:id="-1"/>
    <w:footnote w:id="0"/>
  </w:footnotePr>
  <w:endnotePr>
    <w:endnote w:id="-1"/>
    <w:endnote w:id="0"/>
  </w:endnotePr>
  <w:compat/>
  <w:rsids>
    <w:rsidRoot w:val="00BF5BC2"/>
    <w:rsid w:val="00003364"/>
    <w:rsid w:val="001B46BD"/>
    <w:rsid w:val="00210D36"/>
    <w:rsid w:val="00244C3D"/>
    <w:rsid w:val="00575911"/>
    <w:rsid w:val="00BF5B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6BD"/>
    <w:rPr>
      <w:sz w:val="24"/>
      <w:szCs w:val="24"/>
    </w:rPr>
  </w:style>
  <w:style w:type="paragraph" w:styleId="Heading1">
    <w:name w:val="heading 1"/>
    <w:basedOn w:val="Normal"/>
    <w:next w:val="Normal"/>
    <w:qFormat/>
    <w:rsid w:val="001B46BD"/>
    <w:pPr>
      <w:keepNext/>
      <w:ind w:left="720" w:hanging="720"/>
      <w:outlineLvl w:val="0"/>
    </w:pPr>
    <w:rPr>
      <w:b/>
      <w:sz w:val="28"/>
    </w:rPr>
  </w:style>
  <w:style w:type="paragraph" w:styleId="Heading2">
    <w:name w:val="heading 2"/>
    <w:basedOn w:val="Normal"/>
    <w:next w:val="Normal"/>
    <w:qFormat/>
    <w:rsid w:val="001B46BD"/>
    <w:pPr>
      <w:keepNext/>
      <w:outlineLvl w:val="1"/>
    </w:pPr>
    <w:rPr>
      <w:b/>
      <w:sz w:val="28"/>
    </w:rPr>
  </w:style>
  <w:style w:type="paragraph" w:styleId="Heading3">
    <w:name w:val="heading 3"/>
    <w:basedOn w:val="Normal"/>
    <w:next w:val="Normal"/>
    <w:qFormat/>
    <w:rsid w:val="001B46BD"/>
    <w:pPr>
      <w:keepNext/>
      <w:ind w:left="720" w:hanging="720"/>
      <w:jc w:val="center"/>
      <w:outlineLvl w:val="2"/>
    </w:pPr>
    <w:rPr>
      <w:b/>
      <w:sz w:val="28"/>
    </w:rPr>
  </w:style>
  <w:style w:type="paragraph" w:styleId="Heading4">
    <w:name w:val="heading 4"/>
    <w:basedOn w:val="Normal"/>
    <w:next w:val="Normal"/>
    <w:qFormat/>
    <w:rsid w:val="001B46BD"/>
    <w:pPr>
      <w:keepNext/>
      <w:jc w:val="center"/>
      <w:outlineLvl w:val="3"/>
    </w:pPr>
    <w:rPr>
      <w:b/>
      <w:sz w:val="28"/>
      <w:u w:val="single"/>
    </w:rPr>
  </w:style>
  <w:style w:type="paragraph" w:styleId="Heading5">
    <w:name w:val="heading 5"/>
    <w:basedOn w:val="Normal"/>
    <w:next w:val="Normal"/>
    <w:qFormat/>
    <w:rsid w:val="001B46BD"/>
    <w:pPr>
      <w:keepNext/>
      <w:jc w:val="right"/>
      <w:outlineLvl w:val="4"/>
    </w:pPr>
    <w:rPr>
      <w:b/>
      <w:sz w:val="20"/>
    </w:rPr>
  </w:style>
  <w:style w:type="paragraph" w:styleId="Heading6">
    <w:name w:val="heading 6"/>
    <w:basedOn w:val="Normal"/>
    <w:next w:val="Normal"/>
    <w:qFormat/>
    <w:rsid w:val="001B46BD"/>
    <w:pPr>
      <w:keepNext/>
      <w:jc w:val="center"/>
      <w:outlineLvl w:val="5"/>
    </w:pPr>
    <w:rPr>
      <w:b/>
      <w:sz w:val="20"/>
      <w:u w:val="single"/>
    </w:rPr>
  </w:style>
  <w:style w:type="paragraph" w:styleId="Heading7">
    <w:name w:val="heading 7"/>
    <w:basedOn w:val="Normal"/>
    <w:next w:val="Normal"/>
    <w:qFormat/>
    <w:rsid w:val="001B46BD"/>
    <w:pPr>
      <w:spacing w:before="240" w:after="60"/>
      <w:outlineLvl w:val="6"/>
    </w:pPr>
  </w:style>
  <w:style w:type="paragraph" w:styleId="Heading8">
    <w:name w:val="heading 8"/>
    <w:basedOn w:val="Normal"/>
    <w:next w:val="Normal"/>
    <w:qFormat/>
    <w:rsid w:val="001B46BD"/>
    <w:pPr>
      <w:spacing w:before="240" w:after="60"/>
      <w:outlineLvl w:val="7"/>
    </w:pPr>
    <w:rPr>
      <w:i/>
      <w:iCs/>
    </w:rPr>
  </w:style>
  <w:style w:type="paragraph" w:styleId="Heading9">
    <w:name w:val="heading 9"/>
    <w:basedOn w:val="Normal"/>
    <w:next w:val="Normal"/>
    <w:qFormat/>
    <w:rsid w:val="001B46BD"/>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1B46BD"/>
    <w:pPr>
      <w:ind w:left="-720" w:firstLine="720"/>
    </w:pPr>
  </w:style>
  <w:style w:type="paragraph" w:styleId="BodyText2">
    <w:name w:val="Body Text 2"/>
    <w:basedOn w:val="Normal"/>
    <w:semiHidden/>
    <w:rsid w:val="001B46BD"/>
    <w:pPr>
      <w:tabs>
        <w:tab w:val="left" w:pos="0"/>
      </w:tabs>
      <w:outlineLvl w:val="0"/>
    </w:pPr>
    <w:rPr>
      <w:szCs w:val="20"/>
    </w:rPr>
  </w:style>
  <w:style w:type="paragraph" w:styleId="BodyTextIndent2">
    <w:name w:val="Body Text Indent 2"/>
    <w:basedOn w:val="Normal"/>
    <w:semiHidden/>
    <w:rsid w:val="001B46BD"/>
    <w:pPr>
      <w:ind w:left="720"/>
    </w:pPr>
    <w:rPr>
      <w:szCs w:val="20"/>
    </w:rPr>
  </w:style>
  <w:style w:type="paragraph" w:styleId="BlockText">
    <w:name w:val="Block Text"/>
    <w:basedOn w:val="Normal"/>
    <w:semiHidden/>
    <w:rsid w:val="001B46BD"/>
    <w:pPr>
      <w:tabs>
        <w:tab w:val="left" w:pos="-720"/>
      </w:tabs>
      <w:ind w:left="-720" w:right="720"/>
    </w:pPr>
  </w:style>
  <w:style w:type="paragraph" w:styleId="Header">
    <w:name w:val="header"/>
    <w:basedOn w:val="Normal"/>
    <w:semiHidden/>
    <w:rsid w:val="001B46BD"/>
    <w:pPr>
      <w:tabs>
        <w:tab w:val="center" w:pos="4320"/>
        <w:tab w:val="right" w:pos="8640"/>
      </w:tabs>
    </w:pPr>
  </w:style>
  <w:style w:type="paragraph" w:styleId="Footer">
    <w:name w:val="footer"/>
    <w:basedOn w:val="Normal"/>
    <w:semiHidden/>
    <w:rsid w:val="001B46BD"/>
    <w:pPr>
      <w:tabs>
        <w:tab w:val="center" w:pos="4320"/>
        <w:tab w:val="right" w:pos="8640"/>
      </w:tabs>
    </w:pPr>
  </w:style>
  <w:style w:type="character" w:styleId="PageNumber">
    <w:name w:val="page number"/>
    <w:basedOn w:val="DefaultParagraphFont"/>
    <w:semiHidden/>
    <w:rsid w:val="001B46BD"/>
  </w:style>
  <w:style w:type="paragraph" w:styleId="BodyTextIndent3">
    <w:name w:val="Body Text Indent 3"/>
    <w:basedOn w:val="Normal"/>
    <w:semiHidden/>
    <w:rsid w:val="001B46BD"/>
    <w:pPr>
      <w:tabs>
        <w:tab w:val="left" w:pos="-720"/>
        <w:tab w:val="left" w:pos="360"/>
        <w:tab w:val="num" w:pos="1080"/>
      </w:tabs>
      <w:spacing w:line="360" w:lineRule="auto"/>
      <w:ind w:hanging="720"/>
      <w:jc w:val="both"/>
    </w:pPr>
  </w:style>
  <w:style w:type="paragraph" w:styleId="BodyText">
    <w:name w:val="Body Text"/>
    <w:basedOn w:val="Normal"/>
    <w:semiHidden/>
    <w:rsid w:val="001B46BD"/>
    <w:pPr>
      <w:ind w:right="-720"/>
    </w:pPr>
  </w:style>
  <w:style w:type="paragraph" w:styleId="Subtitle">
    <w:name w:val="Subtitle"/>
    <w:basedOn w:val="Normal"/>
    <w:qFormat/>
    <w:rsid w:val="001B46BD"/>
    <w:pPr>
      <w:jc w:val="center"/>
    </w:pPr>
    <w:rPr>
      <w:b/>
      <w:sz w:val="20"/>
      <w:u w:val="single"/>
    </w:rPr>
  </w:style>
  <w:style w:type="paragraph" w:styleId="BodyText3">
    <w:name w:val="Body Text 3"/>
    <w:basedOn w:val="Normal"/>
    <w:semiHidden/>
    <w:rsid w:val="001B46BD"/>
    <w:rPr>
      <w:snapToGrid w:val="0"/>
      <w:color w:val="000000"/>
      <w:sz w:val="28"/>
    </w:rPr>
  </w:style>
  <w:style w:type="paragraph" w:styleId="Title">
    <w:name w:val="Title"/>
    <w:basedOn w:val="Normal"/>
    <w:qFormat/>
    <w:rsid w:val="001B46BD"/>
    <w:pPr>
      <w:jc w:val="center"/>
    </w:pPr>
    <w:rPr>
      <w:b/>
      <w:sz w:val="20"/>
    </w:rPr>
  </w:style>
  <w:style w:type="paragraph" w:styleId="BodyTextFirstIndent">
    <w:name w:val="Body Text First Indent"/>
    <w:basedOn w:val="BodyText"/>
    <w:semiHidden/>
    <w:rsid w:val="001B46BD"/>
    <w:pPr>
      <w:spacing w:after="120"/>
      <w:ind w:right="0" w:firstLine="210"/>
    </w:pPr>
  </w:style>
  <w:style w:type="paragraph" w:styleId="BodyTextFirstIndent2">
    <w:name w:val="Body Text First Indent 2"/>
    <w:basedOn w:val="BodyTextIndent"/>
    <w:semiHidden/>
    <w:rsid w:val="001B46BD"/>
    <w:pPr>
      <w:spacing w:after="120"/>
      <w:ind w:left="360" w:firstLine="210"/>
    </w:pPr>
  </w:style>
  <w:style w:type="paragraph" w:styleId="Caption">
    <w:name w:val="caption"/>
    <w:basedOn w:val="Normal"/>
    <w:next w:val="Normal"/>
    <w:qFormat/>
    <w:rsid w:val="001B46BD"/>
    <w:pPr>
      <w:spacing w:before="120" w:after="120"/>
    </w:pPr>
    <w:rPr>
      <w:b/>
      <w:bCs/>
      <w:sz w:val="20"/>
      <w:szCs w:val="20"/>
    </w:rPr>
  </w:style>
  <w:style w:type="paragraph" w:styleId="Closing">
    <w:name w:val="Closing"/>
    <w:basedOn w:val="Normal"/>
    <w:semiHidden/>
    <w:rsid w:val="001B46BD"/>
    <w:pPr>
      <w:ind w:left="4320"/>
    </w:pPr>
  </w:style>
  <w:style w:type="paragraph" w:styleId="CommentText">
    <w:name w:val="annotation text"/>
    <w:basedOn w:val="Normal"/>
    <w:semiHidden/>
    <w:rsid w:val="001B46BD"/>
    <w:rPr>
      <w:sz w:val="20"/>
      <w:szCs w:val="20"/>
    </w:rPr>
  </w:style>
  <w:style w:type="paragraph" w:styleId="Date">
    <w:name w:val="Date"/>
    <w:basedOn w:val="Normal"/>
    <w:next w:val="Normal"/>
    <w:semiHidden/>
    <w:rsid w:val="001B46BD"/>
  </w:style>
  <w:style w:type="paragraph" w:styleId="DocumentMap">
    <w:name w:val="Document Map"/>
    <w:basedOn w:val="Normal"/>
    <w:semiHidden/>
    <w:rsid w:val="001B46BD"/>
    <w:pPr>
      <w:shd w:val="clear" w:color="auto" w:fill="000080"/>
    </w:pPr>
    <w:rPr>
      <w:rFonts w:ascii="Tahoma" w:hAnsi="Tahoma" w:cs="Tahoma"/>
    </w:rPr>
  </w:style>
  <w:style w:type="paragraph" w:styleId="E-mailSignature">
    <w:name w:val="E-mail Signature"/>
    <w:basedOn w:val="Normal"/>
    <w:semiHidden/>
    <w:rsid w:val="001B46BD"/>
  </w:style>
  <w:style w:type="paragraph" w:styleId="EndnoteText">
    <w:name w:val="endnote text"/>
    <w:basedOn w:val="Normal"/>
    <w:semiHidden/>
    <w:rsid w:val="001B46BD"/>
    <w:rPr>
      <w:sz w:val="20"/>
      <w:szCs w:val="20"/>
    </w:rPr>
  </w:style>
  <w:style w:type="paragraph" w:styleId="EnvelopeAddress">
    <w:name w:val="envelope address"/>
    <w:basedOn w:val="Normal"/>
    <w:semiHidden/>
    <w:rsid w:val="001B46BD"/>
    <w:pPr>
      <w:framePr w:w="7920" w:h="1980" w:hRule="exact" w:hSpace="180" w:wrap="auto" w:hAnchor="page" w:xAlign="center" w:yAlign="bottom"/>
      <w:ind w:left="2880"/>
    </w:pPr>
    <w:rPr>
      <w:rFonts w:ascii="Arial" w:hAnsi="Arial"/>
    </w:rPr>
  </w:style>
  <w:style w:type="paragraph" w:styleId="EnvelopeReturn">
    <w:name w:val="envelope return"/>
    <w:basedOn w:val="Normal"/>
    <w:semiHidden/>
    <w:rsid w:val="001B46BD"/>
    <w:rPr>
      <w:rFonts w:ascii="Arial" w:hAnsi="Arial"/>
      <w:sz w:val="20"/>
      <w:szCs w:val="20"/>
    </w:rPr>
  </w:style>
  <w:style w:type="paragraph" w:styleId="FootnoteText">
    <w:name w:val="footnote text"/>
    <w:basedOn w:val="Normal"/>
    <w:semiHidden/>
    <w:rsid w:val="001B46BD"/>
    <w:rPr>
      <w:sz w:val="20"/>
      <w:szCs w:val="20"/>
    </w:rPr>
  </w:style>
  <w:style w:type="paragraph" w:styleId="HTMLAddress">
    <w:name w:val="HTML Address"/>
    <w:basedOn w:val="Normal"/>
    <w:semiHidden/>
    <w:rsid w:val="001B46BD"/>
    <w:rPr>
      <w:i/>
      <w:iCs/>
    </w:rPr>
  </w:style>
  <w:style w:type="paragraph" w:styleId="HTMLPreformatted">
    <w:name w:val="HTML Preformatted"/>
    <w:basedOn w:val="Normal"/>
    <w:semiHidden/>
    <w:rsid w:val="001B46BD"/>
    <w:rPr>
      <w:rFonts w:ascii="Courier New" w:hAnsi="Courier New"/>
      <w:sz w:val="20"/>
      <w:szCs w:val="20"/>
    </w:rPr>
  </w:style>
  <w:style w:type="paragraph" w:styleId="Index1">
    <w:name w:val="index 1"/>
    <w:basedOn w:val="Normal"/>
    <w:next w:val="Normal"/>
    <w:autoRedefine/>
    <w:semiHidden/>
    <w:rsid w:val="001B46BD"/>
    <w:pPr>
      <w:ind w:left="240" w:hanging="240"/>
    </w:pPr>
  </w:style>
  <w:style w:type="paragraph" w:styleId="Index2">
    <w:name w:val="index 2"/>
    <w:basedOn w:val="Normal"/>
    <w:next w:val="Normal"/>
    <w:autoRedefine/>
    <w:semiHidden/>
    <w:rsid w:val="001B46BD"/>
    <w:pPr>
      <w:ind w:left="480" w:hanging="240"/>
    </w:pPr>
  </w:style>
  <w:style w:type="paragraph" w:styleId="Index3">
    <w:name w:val="index 3"/>
    <w:basedOn w:val="Normal"/>
    <w:next w:val="Normal"/>
    <w:autoRedefine/>
    <w:semiHidden/>
    <w:rsid w:val="001B46BD"/>
    <w:pPr>
      <w:ind w:left="720" w:hanging="240"/>
    </w:pPr>
  </w:style>
  <w:style w:type="paragraph" w:styleId="Index4">
    <w:name w:val="index 4"/>
    <w:basedOn w:val="Normal"/>
    <w:next w:val="Normal"/>
    <w:autoRedefine/>
    <w:semiHidden/>
    <w:rsid w:val="001B46BD"/>
    <w:pPr>
      <w:ind w:left="960" w:hanging="240"/>
    </w:pPr>
  </w:style>
  <w:style w:type="paragraph" w:styleId="Index5">
    <w:name w:val="index 5"/>
    <w:basedOn w:val="Normal"/>
    <w:next w:val="Normal"/>
    <w:autoRedefine/>
    <w:semiHidden/>
    <w:rsid w:val="001B46BD"/>
    <w:pPr>
      <w:ind w:left="1200" w:hanging="240"/>
    </w:pPr>
  </w:style>
  <w:style w:type="paragraph" w:styleId="Index6">
    <w:name w:val="index 6"/>
    <w:basedOn w:val="Normal"/>
    <w:next w:val="Normal"/>
    <w:autoRedefine/>
    <w:semiHidden/>
    <w:rsid w:val="001B46BD"/>
    <w:pPr>
      <w:ind w:left="1440" w:hanging="240"/>
    </w:pPr>
  </w:style>
  <w:style w:type="paragraph" w:styleId="Index7">
    <w:name w:val="index 7"/>
    <w:basedOn w:val="Normal"/>
    <w:next w:val="Normal"/>
    <w:autoRedefine/>
    <w:semiHidden/>
    <w:rsid w:val="001B46BD"/>
    <w:pPr>
      <w:ind w:left="1680" w:hanging="240"/>
    </w:pPr>
  </w:style>
  <w:style w:type="paragraph" w:styleId="Index8">
    <w:name w:val="index 8"/>
    <w:basedOn w:val="Normal"/>
    <w:next w:val="Normal"/>
    <w:autoRedefine/>
    <w:semiHidden/>
    <w:rsid w:val="001B46BD"/>
    <w:pPr>
      <w:ind w:left="1920" w:hanging="240"/>
    </w:pPr>
  </w:style>
  <w:style w:type="paragraph" w:styleId="Index9">
    <w:name w:val="index 9"/>
    <w:basedOn w:val="Normal"/>
    <w:next w:val="Normal"/>
    <w:autoRedefine/>
    <w:semiHidden/>
    <w:rsid w:val="001B46BD"/>
    <w:pPr>
      <w:ind w:left="2160" w:hanging="240"/>
    </w:pPr>
  </w:style>
  <w:style w:type="paragraph" w:styleId="IndexHeading">
    <w:name w:val="index heading"/>
    <w:basedOn w:val="Normal"/>
    <w:next w:val="Index1"/>
    <w:semiHidden/>
    <w:rsid w:val="001B46BD"/>
    <w:rPr>
      <w:rFonts w:ascii="Arial" w:hAnsi="Arial"/>
      <w:b/>
      <w:bCs/>
    </w:rPr>
  </w:style>
  <w:style w:type="paragraph" w:styleId="List">
    <w:name w:val="List"/>
    <w:basedOn w:val="Normal"/>
    <w:semiHidden/>
    <w:rsid w:val="001B46BD"/>
    <w:pPr>
      <w:ind w:left="360" w:hanging="360"/>
    </w:pPr>
  </w:style>
  <w:style w:type="paragraph" w:styleId="List2">
    <w:name w:val="List 2"/>
    <w:basedOn w:val="Normal"/>
    <w:semiHidden/>
    <w:rsid w:val="001B46BD"/>
    <w:pPr>
      <w:ind w:left="720" w:hanging="360"/>
    </w:pPr>
  </w:style>
  <w:style w:type="paragraph" w:styleId="List3">
    <w:name w:val="List 3"/>
    <w:basedOn w:val="Normal"/>
    <w:semiHidden/>
    <w:rsid w:val="001B46BD"/>
    <w:pPr>
      <w:ind w:left="1080" w:hanging="360"/>
    </w:pPr>
  </w:style>
  <w:style w:type="paragraph" w:styleId="List4">
    <w:name w:val="List 4"/>
    <w:basedOn w:val="Normal"/>
    <w:semiHidden/>
    <w:rsid w:val="001B46BD"/>
    <w:pPr>
      <w:ind w:left="1440" w:hanging="360"/>
    </w:pPr>
  </w:style>
  <w:style w:type="paragraph" w:styleId="List5">
    <w:name w:val="List 5"/>
    <w:basedOn w:val="Normal"/>
    <w:semiHidden/>
    <w:rsid w:val="001B46BD"/>
    <w:pPr>
      <w:ind w:left="1800" w:hanging="360"/>
    </w:pPr>
  </w:style>
  <w:style w:type="paragraph" w:styleId="ListBullet">
    <w:name w:val="List Bullet"/>
    <w:basedOn w:val="Normal"/>
    <w:autoRedefine/>
    <w:semiHidden/>
    <w:rsid w:val="001B46BD"/>
    <w:pPr>
      <w:numPr>
        <w:numId w:val="4"/>
      </w:numPr>
    </w:pPr>
  </w:style>
  <w:style w:type="paragraph" w:styleId="ListBullet2">
    <w:name w:val="List Bullet 2"/>
    <w:basedOn w:val="Normal"/>
    <w:autoRedefine/>
    <w:semiHidden/>
    <w:rsid w:val="001B46BD"/>
    <w:pPr>
      <w:numPr>
        <w:numId w:val="5"/>
      </w:numPr>
    </w:pPr>
  </w:style>
  <w:style w:type="paragraph" w:styleId="ListBullet3">
    <w:name w:val="List Bullet 3"/>
    <w:basedOn w:val="Normal"/>
    <w:autoRedefine/>
    <w:semiHidden/>
    <w:rsid w:val="001B46BD"/>
    <w:pPr>
      <w:numPr>
        <w:numId w:val="6"/>
      </w:numPr>
    </w:pPr>
  </w:style>
  <w:style w:type="paragraph" w:styleId="ListBullet4">
    <w:name w:val="List Bullet 4"/>
    <w:basedOn w:val="Normal"/>
    <w:autoRedefine/>
    <w:semiHidden/>
    <w:rsid w:val="001B46BD"/>
    <w:pPr>
      <w:numPr>
        <w:numId w:val="7"/>
      </w:numPr>
    </w:pPr>
  </w:style>
  <w:style w:type="paragraph" w:styleId="ListBullet5">
    <w:name w:val="List Bullet 5"/>
    <w:basedOn w:val="Normal"/>
    <w:autoRedefine/>
    <w:semiHidden/>
    <w:rsid w:val="001B46BD"/>
    <w:pPr>
      <w:numPr>
        <w:numId w:val="8"/>
      </w:numPr>
    </w:pPr>
  </w:style>
  <w:style w:type="paragraph" w:styleId="ListContinue">
    <w:name w:val="List Continue"/>
    <w:basedOn w:val="Normal"/>
    <w:semiHidden/>
    <w:rsid w:val="001B46BD"/>
    <w:pPr>
      <w:spacing w:after="120"/>
      <w:ind w:left="360"/>
    </w:pPr>
  </w:style>
  <w:style w:type="paragraph" w:styleId="ListContinue2">
    <w:name w:val="List Continue 2"/>
    <w:basedOn w:val="Normal"/>
    <w:semiHidden/>
    <w:rsid w:val="001B46BD"/>
    <w:pPr>
      <w:spacing w:after="120"/>
      <w:ind w:left="720"/>
    </w:pPr>
  </w:style>
  <w:style w:type="paragraph" w:styleId="ListContinue3">
    <w:name w:val="List Continue 3"/>
    <w:basedOn w:val="Normal"/>
    <w:semiHidden/>
    <w:rsid w:val="001B46BD"/>
    <w:pPr>
      <w:spacing w:after="120"/>
      <w:ind w:left="1080"/>
    </w:pPr>
  </w:style>
  <w:style w:type="paragraph" w:styleId="ListContinue4">
    <w:name w:val="List Continue 4"/>
    <w:basedOn w:val="Normal"/>
    <w:semiHidden/>
    <w:rsid w:val="001B46BD"/>
    <w:pPr>
      <w:spacing w:after="120"/>
      <w:ind w:left="1440"/>
    </w:pPr>
  </w:style>
  <w:style w:type="paragraph" w:styleId="ListContinue5">
    <w:name w:val="List Continue 5"/>
    <w:basedOn w:val="Normal"/>
    <w:semiHidden/>
    <w:rsid w:val="001B46BD"/>
    <w:pPr>
      <w:spacing w:after="120"/>
      <w:ind w:left="1800"/>
    </w:pPr>
  </w:style>
  <w:style w:type="paragraph" w:styleId="ListNumber">
    <w:name w:val="List Number"/>
    <w:basedOn w:val="Normal"/>
    <w:semiHidden/>
    <w:rsid w:val="001B46BD"/>
    <w:pPr>
      <w:numPr>
        <w:numId w:val="9"/>
      </w:numPr>
    </w:pPr>
  </w:style>
  <w:style w:type="paragraph" w:styleId="ListNumber2">
    <w:name w:val="List Number 2"/>
    <w:basedOn w:val="Normal"/>
    <w:semiHidden/>
    <w:rsid w:val="001B46BD"/>
    <w:pPr>
      <w:numPr>
        <w:numId w:val="10"/>
      </w:numPr>
    </w:pPr>
  </w:style>
  <w:style w:type="paragraph" w:styleId="ListNumber3">
    <w:name w:val="List Number 3"/>
    <w:basedOn w:val="Normal"/>
    <w:semiHidden/>
    <w:rsid w:val="001B46BD"/>
    <w:pPr>
      <w:numPr>
        <w:numId w:val="11"/>
      </w:numPr>
    </w:pPr>
  </w:style>
  <w:style w:type="paragraph" w:styleId="ListNumber4">
    <w:name w:val="List Number 4"/>
    <w:basedOn w:val="Normal"/>
    <w:semiHidden/>
    <w:rsid w:val="001B46BD"/>
    <w:pPr>
      <w:numPr>
        <w:numId w:val="12"/>
      </w:numPr>
    </w:pPr>
  </w:style>
  <w:style w:type="paragraph" w:styleId="ListNumber5">
    <w:name w:val="List Number 5"/>
    <w:basedOn w:val="Normal"/>
    <w:semiHidden/>
    <w:rsid w:val="001B46BD"/>
    <w:pPr>
      <w:numPr>
        <w:numId w:val="13"/>
      </w:numPr>
    </w:pPr>
  </w:style>
  <w:style w:type="paragraph" w:styleId="MacroText">
    <w:name w:val="macro"/>
    <w:semiHidden/>
    <w:rsid w:val="001B46BD"/>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semiHidden/>
    <w:rsid w:val="001B46B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Web">
    <w:name w:val="Normal (Web)"/>
    <w:basedOn w:val="Normal"/>
    <w:semiHidden/>
    <w:rsid w:val="001B46BD"/>
  </w:style>
  <w:style w:type="paragraph" w:styleId="NormalIndent">
    <w:name w:val="Normal Indent"/>
    <w:basedOn w:val="Normal"/>
    <w:semiHidden/>
    <w:rsid w:val="001B46BD"/>
    <w:pPr>
      <w:ind w:left="720"/>
    </w:pPr>
  </w:style>
  <w:style w:type="paragraph" w:styleId="NoteHeading">
    <w:name w:val="Note Heading"/>
    <w:basedOn w:val="Normal"/>
    <w:next w:val="Normal"/>
    <w:semiHidden/>
    <w:rsid w:val="001B46BD"/>
  </w:style>
  <w:style w:type="paragraph" w:styleId="PlainText">
    <w:name w:val="Plain Text"/>
    <w:basedOn w:val="Normal"/>
    <w:semiHidden/>
    <w:rsid w:val="001B46BD"/>
    <w:rPr>
      <w:rFonts w:ascii="Courier New" w:hAnsi="Courier New"/>
      <w:sz w:val="20"/>
      <w:szCs w:val="20"/>
    </w:rPr>
  </w:style>
  <w:style w:type="paragraph" w:styleId="Salutation">
    <w:name w:val="Salutation"/>
    <w:basedOn w:val="Normal"/>
    <w:next w:val="Normal"/>
    <w:semiHidden/>
    <w:rsid w:val="001B46BD"/>
  </w:style>
  <w:style w:type="paragraph" w:styleId="Signature">
    <w:name w:val="Signature"/>
    <w:basedOn w:val="Normal"/>
    <w:semiHidden/>
    <w:rsid w:val="001B46BD"/>
    <w:pPr>
      <w:ind w:left="4320"/>
    </w:pPr>
  </w:style>
  <w:style w:type="paragraph" w:styleId="TableofAuthorities">
    <w:name w:val="table of authorities"/>
    <w:basedOn w:val="Normal"/>
    <w:next w:val="Normal"/>
    <w:semiHidden/>
    <w:rsid w:val="001B46BD"/>
    <w:pPr>
      <w:ind w:left="240" w:hanging="240"/>
    </w:pPr>
  </w:style>
  <w:style w:type="paragraph" w:styleId="TableofFigures">
    <w:name w:val="table of figures"/>
    <w:basedOn w:val="Normal"/>
    <w:next w:val="Normal"/>
    <w:semiHidden/>
    <w:rsid w:val="001B46BD"/>
    <w:pPr>
      <w:ind w:left="480" w:hanging="480"/>
    </w:pPr>
  </w:style>
  <w:style w:type="paragraph" w:styleId="TOAHeading">
    <w:name w:val="toa heading"/>
    <w:basedOn w:val="Normal"/>
    <w:next w:val="Normal"/>
    <w:semiHidden/>
    <w:rsid w:val="001B46BD"/>
    <w:pPr>
      <w:spacing w:before="120"/>
    </w:pPr>
    <w:rPr>
      <w:rFonts w:ascii="Arial" w:hAnsi="Arial"/>
      <w:b/>
      <w:bCs/>
    </w:rPr>
  </w:style>
  <w:style w:type="paragraph" w:styleId="TOC1">
    <w:name w:val="toc 1"/>
    <w:basedOn w:val="Normal"/>
    <w:next w:val="Normal"/>
    <w:autoRedefine/>
    <w:semiHidden/>
    <w:rsid w:val="001B46BD"/>
  </w:style>
  <w:style w:type="paragraph" w:styleId="TOC2">
    <w:name w:val="toc 2"/>
    <w:basedOn w:val="Normal"/>
    <w:next w:val="Normal"/>
    <w:autoRedefine/>
    <w:semiHidden/>
    <w:rsid w:val="001B46BD"/>
    <w:pPr>
      <w:ind w:left="240"/>
    </w:pPr>
  </w:style>
  <w:style w:type="paragraph" w:styleId="TOC3">
    <w:name w:val="toc 3"/>
    <w:basedOn w:val="Normal"/>
    <w:next w:val="Normal"/>
    <w:autoRedefine/>
    <w:semiHidden/>
    <w:rsid w:val="001B46BD"/>
    <w:pPr>
      <w:ind w:left="480"/>
    </w:pPr>
  </w:style>
  <w:style w:type="paragraph" w:styleId="TOC4">
    <w:name w:val="toc 4"/>
    <w:basedOn w:val="Normal"/>
    <w:next w:val="Normal"/>
    <w:autoRedefine/>
    <w:semiHidden/>
    <w:rsid w:val="001B46BD"/>
    <w:pPr>
      <w:ind w:left="720"/>
    </w:pPr>
  </w:style>
  <w:style w:type="paragraph" w:styleId="TOC5">
    <w:name w:val="toc 5"/>
    <w:basedOn w:val="Normal"/>
    <w:next w:val="Normal"/>
    <w:autoRedefine/>
    <w:semiHidden/>
    <w:rsid w:val="001B46BD"/>
    <w:pPr>
      <w:ind w:left="960"/>
    </w:pPr>
  </w:style>
  <w:style w:type="paragraph" w:styleId="TOC6">
    <w:name w:val="toc 6"/>
    <w:basedOn w:val="Normal"/>
    <w:next w:val="Normal"/>
    <w:autoRedefine/>
    <w:semiHidden/>
    <w:rsid w:val="001B46BD"/>
    <w:pPr>
      <w:ind w:left="1200"/>
    </w:pPr>
  </w:style>
  <w:style w:type="paragraph" w:styleId="TOC7">
    <w:name w:val="toc 7"/>
    <w:basedOn w:val="Normal"/>
    <w:next w:val="Normal"/>
    <w:autoRedefine/>
    <w:semiHidden/>
    <w:rsid w:val="001B46BD"/>
    <w:pPr>
      <w:ind w:left="1440"/>
    </w:pPr>
  </w:style>
  <w:style w:type="paragraph" w:styleId="TOC8">
    <w:name w:val="toc 8"/>
    <w:basedOn w:val="Normal"/>
    <w:next w:val="Normal"/>
    <w:autoRedefine/>
    <w:semiHidden/>
    <w:rsid w:val="001B46BD"/>
    <w:pPr>
      <w:ind w:left="1680"/>
    </w:pPr>
  </w:style>
  <w:style w:type="paragraph" w:styleId="TOC9">
    <w:name w:val="toc 9"/>
    <w:basedOn w:val="Normal"/>
    <w:next w:val="Normal"/>
    <w:autoRedefine/>
    <w:semiHidden/>
    <w:rsid w:val="001B46BD"/>
    <w:pPr>
      <w:ind w:left="1920"/>
    </w:pPr>
  </w:style>
  <w:style w:type="character" w:styleId="FootnoteReference">
    <w:name w:val="footnote reference"/>
    <w:basedOn w:val="DefaultParagraphFont"/>
    <w:semiHidden/>
    <w:rsid w:val="001B46BD"/>
    <w:rPr>
      <w:vertAlign w:val="superscript"/>
    </w:rPr>
  </w:style>
  <w:style w:type="character" w:styleId="EndnoteReference">
    <w:name w:val="endnote reference"/>
    <w:basedOn w:val="DefaultParagraphFont"/>
    <w:semiHidden/>
    <w:rsid w:val="001B46BD"/>
    <w:rPr>
      <w:vertAlign w:val="superscript"/>
    </w:rPr>
  </w:style>
  <w:style w:type="paragraph" w:styleId="BalloonText">
    <w:name w:val="Balloon Text"/>
    <w:basedOn w:val="Normal"/>
    <w:link w:val="BalloonTextChar"/>
    <w:uiPriority w:val="99"/>
    <w:semiHidden/>
    <w:unhideWhenUsed/>
    <w:rsid w:val="00003364"/>
    <w:rPr>
      <w:rFonts w:ascii="Tahoma" w:hAnsi="Tahoma" w:cs="Tahoma"/>
      <w:sz w:val="16"/>
      <w:szCs w:val="16"/>
    </w:rPr>
  </w:style>
  <w:style w:type="character" w:customStyle="1" w:styleId="BalloonTextChar">
    <w:name w:val="Balloon Text Char"/>
    <w:basedOn w:val="DefaultParagraphFont"/>
    <w:link w:val="BalloonText"/>
    <w:uiPriority w:val="99"/>
    <w:semiHidden/>
    <w:rsid w:val="000033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wmf"/><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footer" Target="footer7.xml"/><Relationship Id="rId25"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4.jpeg"/><Relationship Id="rId10" Type="http://schemas.openxmlformats.org/officeDocument/2006/relationships/footer" Target="footer3.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614035087719333"/>
          <c:y val="6.1381074168797962E-2"/>
          <c:w val="0.70713460989889232"/>
          <c:h val="0.66240409207161166"/>
        </c:manualLayout>
      </c:layout>
      <c:lineChart>
        <c:grouping val="standard"/>
        <c:ser>
          <c:idx val="0"/>
          <c:order val="1"/>
          <c:tx>
            <c:strRef>
              <c:f>'% Weekly Flows'!$C$5</c:f>
              <c:strCache>
                <c:ptCount val="1"/>
                <c:pt idx="0">
                  <c:v>PH II</c:v>
                </c:pt>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strRef>
              <c:f>'% Weekly Flows'!$A$6:$A$13</c:f>
              <c:strCache>
                <c:ptCount val="8"/>
                <c:pt idx="0">
                  <c:v>Apr -11th</c:v>
                </c:pt>
                <c:pt idx="1">
                  <c:v>Apr -18th</c:v>
                </c:pt>
                <c:pt idx="2">
                  <c:v>Apr - 25th</c:v>
                </c:pt>
                <c:pt idx="3">
                  <c:v>May - 2nd</c:v>
                </c:pt>
                <c:pt idx="4">
                  <c:v>May - 9th</c:v>
                </c:pt>
                <c:pt idx="5">
                  <c:v>May - 16th</c:v>
                </c:pt>
                <c:pt idx="6">
                  <c:v>May - 23rd</c:v>
                </c:pt>
                <c:pt idx="7">
                  <c:v>May - 30th</c:v>
                </c:pt>
              </c:strCache>
            </c:strRef>
          </c:cat>
          <c:val>
            <c:numRef>
              <c:f>'% Weekly Flows'!$C$6:$C$13</c:f>
              <c:numCache>
                <c:formatCode>0.0%</c:formatCode>
                <c:ptCount val="8"/>
                <c:pt idx="0">
                  <c:v>0.45400000000000001</c:v>
                </c:pt>
                <c:pt idx="1">
                  <c:v>0.44100000000000006</c:v>
                </c:pt>
                <c:pt idx="2">
                  <c:v>0.3500000000000002</c:v>
                </c:pt>
                <c:pt idx="3">
                  <c:v>0.33000000000000035</c:v>
                </c:pt>
                <c:pt idx="4">
                  <c:v>0.34400000000000019</c:v>
                </c:pt>
                <c:pt idx="5">
                  <c:v>0.33600000000000035</c:v>
                </c:pt>
                <c:pt idx="6" formatCode="0.00%">
                  <c:v>0.30700000000000022</c:v>
                </c:pt>
                <c:pt idx="7">
                  <c:v>0.251</c:v>
                </c:pt>
              </c:numCache>
            </c:numRef>
          </c:val>
        </c:ser>
        <c:ser>
          <c:idx val="1"/>
          <c:order val="2"/>
          <c:tx>
            <c:strRef>
              <c:f>'% Weekly Flows'!$D$5</c:f>
              <c:strCache>
                <c:ptCount val="1"/>
                <c:pt idx="0">
                  <c:v>PH I </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strRef>
              <c:f>'% Weekly Flows'!$A$6:$A$13</c:f>
              <c:strCache>
                <c:ptCount val="8"/>
                <c:pt idx="0">
                  <c:v>Apr -11th</c:v>
                </c:pt>
                <c:pt idx="1">
                  <c:v>Apr -18th</c:v>
                </c:pt>
                <c:pt idx="2">
                  <c:v>Apr - 25th</c:v>
                </c:pt>
                <c:pt idx="3">
                  <c:v>May - 2nd</c:v>
                </c:pt>
                <c:pt idx="4">
                  <c:v>May - 9th</c:v>
                </c:pt>
                <c:pt idx="5">
                  <c:v>May - 16th</c:v>
                </c:pt>
                <c:pt idx="6">
                  <c:v>May - 23rd</c:v>
                </c:pt>
                <c:pt idx="7">
                  <c:v>May - 30th</c:v>
                </c:pt>
              </c:strCache>
            </c:strRef>
          </c:cat>
          <c:val>
            <c:numRef>
              <c:f>'% Weekly Flows'!$D$6:$D$13</c:f>
              <c:numCache>
                <c:formatCode>0%</c:formatCode>
                <c:ptCount val="8"/>
                <c:pt idx="0" formatCode="0.00%">
                  <c:v>0.39100000000000035</c:v>
                </c:pt>
                <c:pt idx="1">
                  <c:v>0.32000000000000023</c:v>
                </c:pt>
                <c:pt idx="2" formatCode="0.00%">
                  <c:v>0.26300000000000001</c:v>
                </c:pt>
                <c:pt idx="3" formatCode="0.00%">
                  <c:v>0.2880000000000002</c:v>
                </c:pt>
                <c:pt idx="4" formatCode="0.00%">
                  <c:v>0.32700000000000023</c:v>
                </c:pt>
                <c:pt idx="5">
                  <c:v>0.31300000000000022</c:v>
                </c:pt>
                <c:pt idx="6" formatCode="0.00%">
                  <c:v>0.32500000000000023</c:v>
                </c:pt>
                <c:pt idx="7" formatCode="0.00%">
                  <c:v>0.37200000000000027</c:v>
                </c:pt>
              </c:numCache>
            </c:numRef>
          </c:val>
        </c:ser>
        <c:ser>
          <c:idx val="2"/>
          <c:order val="3"/>
          <c:tx>
            <c:strRef>
              <c:f>'% Weekly Flows'!$E$5</c:f>
              <c:strCache>
                <c:ptCount val="1"/>
                <c:pt idx="0">
                  <c:v>Spill</c:v>
                </c:pt>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strRef>
              <c:f>'% Weekly Flows'!$A$6:$A$13</c:f>
              <c:strCache>
                <c:ptCount val="8"/>
                <c:pt idx="0">
                  <c:v>Apr -11th</c:v>
                </c:pt>
                <c:pt idx="1">
                  <c:v>Apr -18th</c:v>
                </c:pt>
                <c:pt idx="2">
                  <c:v>Apr - 25th</c:v>
                </c:pt>
                <c:pt idx="3">
                  <c:v>May - 2nd</c:v>
                </c:pt>
                <c:pt idx="4">
                  <c:v>May - 9th</c:v>
                </c:pt>
                <c:pt idx="5">
                  <c:v>May - 16th</c:v>
                </c:pt>
                <c:pt idx="6">
                  <c:v>May - 23rd</c:v>
                </c:pt>
                <c:pt idx="7">
                  <c:v>May - 30th</c:v>
                </c:pt>
              </c:strCache>
            </c:strRef>
          </c:cat>
          <c:val>
            <c:numRef>
              <c:f>'% Weekly Flows'!$E$6:$E$13</c:f>
              <c:numCache>
                <c:formatCode>0.00%</c:formatCode>
                <c:ptCount val="8"/>
                <c:pt idx="0">
                  <c:v>0.11699999999999998</c:v>
                </c:pt>
                <c:pt idx="1">
                  <c:v>0.2070000000000001</c:v>
                </c:pt>
                <c:pt idx="2">
                  <c:v>0.35800000000000021</c:v>
                </c:pt>
                <c:pt idx="3">
                  <c:v>0.34800000000000025</c:v>
                </c:pt>
                <c:pt idx="4">
                  <c:v>0.29100000000000026</c:v>
                </c:pt>
                <c:pt idx="5">
                  <c:v>0.31200000000000022</c:v>
                </c:pt>
                <c:pt idx="6">
                  <c:v>0.32700000000000023</c:v>
                </c:pt>
                <c:pt idx="7">
                  <c:v>0.33600000000000035</c:v>
                </c:pt>
              </c:numCache>
            </c:numRef>
          </c:val>
        </c:ser>
        <c:ser>
          <c:idx val="3"/>
          <c:order val="0"/>
          <c:tx>
            <c:strRef>
              <c:f>'% Weekly Flows'!$B$5</c:f>
              <c:strCache>
                <c:ptCount val="1"/>
              </c:strCache>
            </c:strRef>
          </c:tx>
          <c:cat>
            <c:strRef>
              <c:f>'% Weekly Flows'!$A$6:$A$13</c:f>
              <c:strCache>
                <c:ptCount val="8"/>
                <c:pt idx="0">
                  <c:v>Apr -11th</c:v>
                </c:pt>
                <c:pt idx="1">
                  <c:v>Apr -18th</c:v>
                </c:pt>
                <c:pt idx="2">
                  <c:v>Apr - 25th</c:v>
                </c:pt>
                <c:pt idx="3">
                  <c:v>May - 2nd</c:v>
                </c:pt>
                <c:pt idx="4">
                  <c:v>May - 9th</c:v>
                </c:pt>
                <c:pt idx="5">
                  <c:v>May - 16th</c:v>
                </c:pt>
                <c:pt idx="6">
                  <c:v>May - 23rd</c:v>
                </c:pt>
                <c:pt idx="7">
                  <c:v>May - 30th</c:v>
                </c:pt>
              </c:strCache>
            </c:strRef>
          </c:cat>
          <c:val>
            <c:numRef>
              <c:f>'% Weekly Flows'!$B$6:$B$13</c:f>
            </c:numRef>
          </c:val>
        </c:ser>
        <c:marker val="1"/>
        <c:axId val="114601984"/>
        <c:axId val="114603904"/>
      </c:lineChart>
      <c:catAx>
        <c:axId val="114601984"/>
        <c:scaling>
          <c:orientation val="minMax"/>
        </c:scaling>
        <c:axPos val="b"/>
        <c:title>
          <c:tx>
            <c:rich>
              <a:bodyPr/>
              <a:lstStyle/>
              <a:p>
                <a:pPr>
                  <a:defRPr sz="1199" b="1" i="0" u="none" strike="noStrike" baseline="0">
                    <a:solidFill>
                      <a:srgbClr val="000000"/>
                    </a:solidFill>
                    <a:latin typeface="Arial"/>
                    <a:ea typeface="Arial"/>
                    <a:cs typeface="Arial"/>
                  </a:defRPr>
                </a:pPr>
                <a:r>
                  <a:rPr lang="en-US"/>
                  <a:t>Dates</a:t>
                </a:r>
              </a:p>
            </c:rich>
          </c:tx>
          <c:layout>
            <c:manualLayout>
              <c:xMode val="edge"/>
              <c:yMode val="edge"/>
              <c:x val="0.46666666666666695"/>
              <c:y val="0.91304347826086962"/>
            </c:manualLayout>
          </c:layout>
          <c:spPr>
            <a:noFill/>
            <a:ln w="25385">
              <a:noFill/>
            </a:ln>
          </c:spPr>
        </c:title>
        <c:numFmt formatCode="General" sourceLinked="1"/>
        <c:tickLblPos val="nextTo"/>
        <c:spPr>
          <a:ln w="3173">
            <a:solidFill>
              <a:srgbClr val="000000"/>
            </a:solidFill>
            <a:prstDash val="solid"/>
          </a:ln>
        </c:spPr>
        <c:txPr>
          <a:bodyPr rot="-2700000" vert="horz"/>
          <a:lstStyle/>
          <a:p>
            <a:pPr>
              <a:defRPr sz="1074" b="0" i="0" u="none" strike="noStrike" baseline="0">
                <a:solidFill>
                  <a:srgbClr val="000000"/>
                </a:solidFill>
                <a:latin typeface="Arial"/>
                <a:ea typeface="Arial"/>
                <a:cs typeface="Arial"/>
              </a:defRPr>
            </a:pPr>
            <a:endParaRPr lang="en-US"/>
          </a:p>
        </c:txPr>
        <c:crossAx val="114603904"/>
        <c:crosses val="autoZero"/>
        <c:auto val="1"/>
        <c:lblAlgn val="ctr"/>
        <c:lblOffset val="100"/>
        <c:tickLblSkip val="1"/>
        <c:tickMarkSkip val="1"/>
      </c:catAx>
      <c:valAx>
        <c:axId val="114603904"/>
        <c:scaling>
          <c:orientation val="minMax"/>
        </c:scaling>
        <c:axPos val="l"/>
        <c:majorGridlines>
          <c:spPr>
            <a:ln w="3173">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rPr lang="en-US"/>
                  <a:t>Percent flow</a:t>
                </a:r>
              </a:p>
            </c:rich>
          </c:tx>
          <c:layout>
            <c:manualLayout>
              <c:xMode val="edge"/>
              <c:yMode val="edge"/>
              <c:x val="1.2280701754385975E-2"/>
              <c:y val="0.26086956521739152"/>
            </c:manualLayout>
          </c:layout>
          <c:spPr>
            <a:noFill/>
            <a:ln w="25385">
              <a:noFill/>
            </a:ln>
          </c:spPr>
        </c:title>
        <c:numFmt formatCode="0.0%" sourceLinked="1"/>
        <c:tickLblPos val="nextTo"/>
        <c:spPr>
          <a:ln w="3173">
            <a:solidFill>
              <a:srgbClr val="000000"/>
            </a:solidFill>
            <a:prstDash val="solid"/>
          </a:ln>
        </c:spPr>
        <c:txPr>
          <a:bodyPr rot="0" vert="horz"/>
          <a:lstStyle/>
          <a:p>
            <a:pPr>
              <a:defRPr sz="1074" b="0" i="0" u="none" strike="noStrike" baseline="0">
                <a:solidFill>
                  <a:srgbClr val="000000"/>
                </a:solidFill>
                <a:latin typeface="Arial"/>
                <a:ea typeface="Arial"/>
                <a:cs typeface="Arial"/>
              </a:defRPr>
            </a:pPr>
            <a:endParaRPr lang="en-US"/>
          </a:p>
        </c:txPr>
        <c:crossAx val="114601984"/>
        <c:crosses val="autoZero"/>
        <c:crossBetween val="between"/>
      </c:valAx>
      <c:spPr>
        <a:solidFill>
          <a:srgbClr val="C0C0C0"/>
        </a:solidFill>
        <a:ln w="12693">
          <a:solidFill>
            <a:srgbClr val="808080"/>
          </a:solidFill>
          <a:prstDash val="solid"/>
        </a:ln>
      </c:spPr>
    </c:plotArea>
    <c:legend>
      <c:legendPos val="r"/>
      <c:layout>
        <c:manualLayout>
          <c:xMode val="edge"/>
          <c:yMode val="edge"/>
          <c:x val="0.870292547531616"/>
          <c:y val="0.31713553247704501"/>
          <c:w val="0.12105263157894743"/>
          <c:h val="0.17135549872122782"/>
        </c:manualLayout>
      </c:layout>
      <c:spPr>
        <a:solidFill>
          <a:srgbClr val="FFFFFF"/>
        </a:solidFill>
        <a:ln w="3173">
          <a:solidFill>
            <a:srgbClr val="000000"/>
          </a:solidFill>
          <a:prstDash val="solid"/>
        </a:ln>
      </c:spPr>
      <c:txPr>
        <a:bodyPr/>
        <a:lstStyle/>
        <a:p>
          <a:pPr>
            <a:defRPr sz="964"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a:noFill/>
    </a:ln>
  </c:spPr>
  <c:txPr>
    <a:bodyPr/>
    <a:lstStyle/>
    <a:p>
      <a:pPr>
        <a:defRPr sz="1524"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34</Pages>
  <Words>7962</Words>
  <Characters>45384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Executive Summary</vt:lpstr>
    </vt:vector>
  </TitlesOfParts>
  <Company>Your Company Name</Company>
  <LinksUpToDate>false</LinksUpToDate>
  <CharactersWithSpaces>53240</CharactersWithSpaces>
  <SharedDoc>false</SharedDoc>
  <HLinks>
    <vt:vector size="18" baseType="variant">
      <vt:variant>
        <vt:i4>5767170</vt:i4>
      </vt:variant>
      <vt:variant>
        <vt:i4>1094</vt:i4>
      </vt:variant>
      <vt:variant>
        <vt:i4>1025</vt:i4>
      </vt:variant>
      <vt:variant>
        <vt:i4>1</vt:i4>
      </vt:variant>
      <vt:variant>
        <vt:lpwstr>F:\Bonneville\Bonneville Aerial.jpg</vt:lpwstr>
      </vt:variant>
      <vt:variant>
        <vt:lpwstr/>
      </vt:variant>
      <vt:variant>
        <vt:i4>3145851</vt:i4>
      </vt:variant>
      <vt:variant>
        <vt:i4>45890</vt:i4>
      </vt:variant>
      <vt:variant>
        <vt:i4>1026</vt:i4>
      </vt:variant>
      <vt:variant>
        <vt:i4>1</vt:i4>
      </vt:variant>
      <vt:variant>
        <vt:lpwstr>..\FIGURES\BON.bmp</vt:lpwstr>
      </vt:variant>
      <vt:variant>
        <vt:lpwstr/>
      </vt:variant>
      <vt:variant>
        <vt:i4>65633</vt:i4>
      </vt:variant>
      <vt:variant>
        <vt:i4>-1</vt:i4>
      </vt:variant>
      <vt:variant>
        <vt:i4>1035</vt:i4>
      </vt:variant>
      <vt:variant>
        <vt:i4>1</vt:i4>
      </vt:variant>
      <vt:variant>
        <vt:lpwstr>C:\My Documents\My Word files\Kelt2000\SAS JPEG figures\CNOAC.jpeg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Valued Gateway Client</dc:creator>
  <cp:keywords/>
  <dc:description/>
  <cp:lastModifiedBy>g2odsplm</cp:lastModifiedBy>
  <cp:revision>5</cp:revision>
  <cp:lastPrinted>2002-01-15T16:39:00Z</cp:lastPrinted>
  <dcterms:created xsi:type="dcterms:W3CDTF">2012-04-24T00:04:00Z</dcterms:created>
  <dcterms:modified xsi:type="dcterms:W3CDTF">2012-04-24T00:24:00Z</dcterms:modified>
</cp:coreProperties>
</file>